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803FD" w14:textId="77777777" w:rsidR="00CE75D3" w:rsidRDefault="00000000">
      <w:pPr>
        <w:spacing w:before="156" w:after="156"/>
        <w:ind w:firstLineChars="0" w:firstLine="0"/>
        <w:rPr>
          <w:rFonts w:cs="Times New Roman"/>
        </w:rPr>
      </w:pPr>
      <w:r>
        <w:rPr>
          <w:rFonts w:cs="Times New Roman"/>
        </w:rPr>
        <w:t>证券代码：</w:t>
      </w:r>
      <w:r>
        <w:rPr>
          <w:rFonts w:cs="Times New Roman"/>
        </w:rPr>
        <w:t>300436</w:t>
      </w:r>
      <w:r>
        <w:rPr>
          <w:rFonts w:cs="Times New Roman"/>
        </w:rPr>
        <w:tab/>
      </w:r>
      <w:r>
        <w:rPr>
          <w:rFonts w:cs="Times New Roman"/>
        </w:rPr>
        <w:tab/>
      </w:r>
      <w:r>
        <w:rPr>
          <w:rFonts w:cs="Times New Roman" w:hint="eastAsia"/>
        </w:rPr>
        <w:t xml:space="preserve">      </w:t>
      </w:r>
      <w:r>
        <w:rPr>
          <w:rFonts w:cs="Times New Roman"/>
        </w:rPr>
        <w:tab/>
      </w:r>
      <w:r>
        <w:rPr>
          <w:rFonts w:cs="Times New Roman" w:hint="eastAsia"/>
        </w:rPr>
        <w:t xml:space="preserve">  </w:t>
      </w:r>
      <w:r>
        <w:rPr>
          <w:rFonts w:cs="Times New Roman"/>
        </w:rPr>
        <w:t>证券简称：广生堂</w:t>
      </w:r>
      <w:r>
        <w:rPr>
          <w:rFonts w:cs="Times New Roman"/>
        </w:rPr>
        <w:tab/>
      </w:r>
      <w:r>
        <w:rPr>
          <w:rFonts w:cs="Times New Roman"/>
        </w:rPr>
        <w:tab/>
      </w:r>
      <w:r>
        <w:rPr>
          <w:rFonts w:cs="Times New Roman" w:hint="eastAsia"/>
        </w:rPr>
        <w:t xml:space="preserve">   </w:t>
      </w:r>
      <w:r>
        <w:rPr>
          <w:rFonts w:cs="Times New Roman"/>
        </w:rPr>
        <w:tab/>
      </w:r>
      <w:r>
        <w:rPr>
          <w:rFonts w:cs="Times New Roman"/>
        </w:rPr>
        <w:t>公告编号：</w:t>
      </w:r>
      <w:r>
        <w:rPr>
          <w:rFonts w:cs="Times New Roman"/>
        </w:rPr>
        <w:t>2025</w:t>
      </w:r>
      <w:r>
        <w:rPr>
          <w:rFonts w:cs="Times New Roman" w:hint="eastAsia"/>
        </w:rPr>
        <w:t>018</w:t>
      </w:r>
    </w:p>
    <w:p w14:paraId="3AD1CAAF" w14:textId="77777777" w:rsidR="00DB0969" w:rsidRPr="00DB0969" w:rsidRDefault="00DB0969" w:rsidP="00DB0969">
      <w:pPr>
        <w:adjustRightInd/>
        <w:snapToGrid/>
        <w:spacing w:before="156" w:afterLines="0" w:after="0" w:line="240" w:lineRule="auto"/>
        <w:ind w:firstLineChars="0" w:firstLine="0"/>
        <w:jc w:val="center"/>
        <w:rPr>
          <w:rFonts w:cs="Times New Roman"/>
          <w:b/>
          <w:bCs w:val="0"/>
          <w:kern w:val="0"/>
          <w:sz w:val="32"/>
          <w:szCs w:val="32"/>
        </w:rPr>
      </w:pPr>
      <w:r w:rsidRPr="00DB0969">
        <w:rPr>
          <w:rFonts w:cs="Times New Roman"/>
          <w:b/>
          <w:bCs w:val="0"/>
          <w:kern w:val="0"/>
          <w:sz w:val="32"/>
          <w:szCs w:val="32"/>
        </w:rPr>
        <w:t>福建广生堂药业股份有限公司</w:t>
      </w:r>
    </w:p>
    <w:p w14:paraId="1D5977BD" w14:textId="77777777" w:rsidR="00DB0969" w:rsidRPr="00DB0969" w:rsidRDefault="00DB0969" w:rsidP="00DB0969">
      <w:pPr>
        <w:tabs>
          <w:tab w:val="left" w:pos="4678"/>
        </w:tabs>
        <w:adjustRightInd/>
        <w:snapToGrid/>
        <w:spacing w:beforeLines="0" w:before="0" w:afterLines="0" w:after="0" w:line="240" w:lineRule="auto"/>
        <w:ind w:firstLineChars="0" w:firstLine="0"/>
        <w:jc w:val="center"/>
        <w:rPr>
          <w:rFonts w:cs="Times New Roman" w:hint="eastAsia"/>
          <w:b/>
          <w:bCs w:val="0"/>
          <w:sz w:val="32"/>
          <w:szCs w:val="32"/>
        </w:rPr>
      </w:pPr>
      <w:r w:rsidRPr="00DB0969">
        <w:rPr>
          <w:rFonts w:cs="Times New Roman" w:hint="eastAsia"/>
          <w:b/>
          <w:bCs w:val="0"/>
          <w:sz w:val="32"/>
          <w:szCs w:val="32"/>
        </w:rPr>
        <w:t>关于</w:t>
      </w:r>
      <w:r w:rsidRPr="00DB0969">
        <w:rPr>
          <w:rFonts w:cs="Times New Roman" w:hint="eastAsia"/>
          <w:b/>
          <w:bCs w:val="0"/>
          <w:sz w:val="32"/>
          <w:szCs w:val="32"/>
        </w:rPr>
        <w:t>202</w:t>
      </w:r>
      <w:r w:rsidRPr="00DB0969">
        <w:rPr>
          <w:rFonts w:cs="Times New Roman" w:hint="eastAsia"/>
          <w:b/>
          <w:bCs w:val="0"/>
          <w:sz w:val="32"/>
          <w:szCs w:val="32"/>
        </w:rPr>
        <w:t>5</w:t>
      </w:r>
      <w:r w:rsidRPr="00DB0969">
        <w:rPr>
          <w:rFonts w:cs="Times New Roman" w:hint="eastAsia"/>
          <w:b/>
          <w:bCs w:val="0"/>
          <w:sz w:val="32"/>
          <w:szCs w:val="32"/>
        </w:rPr>
        <w:t>年度向特定对象发行股票摊薄即期回报、填补措施及相关主体承诺的公告</w:t>
      </w:r>
    </w:p>
    <w:p w14:paraId="07DE3786" w14:textId="77777777" w:rsidR="00CE75D3" w:rsidRDefault="00000000">
      <w:pPr>
        <w:spacing w:before="156" w:after="156"/>
        <w:ind w:firstLineChars="0" w:firstLine="0"/>
        <w:jc w:val="center"/>
        <w:rPr>
          <w:rFonts w:cs="Times New Roman"/>
          <w:b/>
          <w:bCs w:val="0"/>
        </w:rPr>
      </w:pPr>
      <w:r>
        <w:rPr>
          <w:rFonts w:cs="Times New Roman"/>
          <w:b/>
          <w:bCs w:val="0"/>
          <w:noProof/>
        </w:rPr>
        <mc:AlternateContent>
          <mc:Choice Requires="wps">
            <w:drawing>
              <wp:anchor distT="0" distB="0" distL="114300" distR="114300" simplePos="0" relativeHeight="251659264" behindDoc="0" locked="0" layoutInCell="1" allowOverlap="1" wp14:anchorId="084374F2" wp14:editId="1EEA2342">
                <wp:simplePos x="0" y="0"/>
                <wp:positionH relativeFrom="column">
                  <wp:posOffset>69850</wp:posOffset>
                </wp:positionH>
                <wp:positionV relativeFrom="paragraph">
                  <wp:posOffset>257175</wp:posOffset>
                </wp:positionV>
                <wp:extent cx="5486400" cy="812800"/>
                <wp:effectExtent l="0" t="0" r="19050" b="25400"/>
                <wp:wrapNone/>
                <wp:docPr id="1" name="文本框 1"/>
                <wp:cNvGraphicFramePr/>
                <a:graphic xmlns:a="http://schemas.openxmlformats.org/drawingml/2006/main">
                  <a:graphicData uri="http://schemas.microsoft.com/office/word/2010/wordprocessingShape">
                    <wps:wsp>
                      <wps:cNvSpPr txBox="1"/>
                      <wps:spPr>
                        <a:xfrm>
                          <a:off x="0" y="0"/>
                          <a:ext cx="5486400" cy="812800"/>
                        </a:xfrm>
                        <a:prstGeom prst="rect">
                          <a:avLst/>
                        </a:prstGeom>
                        <a:solidFill>
                          <a:schemeClr val="lt1"/>
                        </a:solidFill>
                        <a:ln w="6350">
                          <a:solidFill>
                            <a:prstClr val="black"/>
                          </a:solidFill>
                        </a:ln>
                      </wps:spPr>
                      <wps:txbx>
                        <w:txbxContent>
                          <w:p w14:paraId="16CA5AE4" w14:textId="77777777" w:rsidR="00CE75D3" w:rsidRDefault="00000000">
                            <w:pPr>
                              <w:spacing w:before="156" w:after="156"/>
                              <w:ind w:firstLine="482"/>
                              <w:rPr>
                                <w:b/>
                                <w:bCs w:val="0"/>
                              </w:rPr>
                            </w:pPr>
                            <w:r>
                              <w:rPr>
                                <w:rFonts w:hint="eastAsia"/>
                                <w:b/>
                                <w:bCs w:val="0"/>
                              </w:rPr>
                              <w:t>本公司及董事会全体成员保证信息披露的内容真实、准确、完整，没有虚假记载、误导性陈述或重大遗漏。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5.5pt;margin-top:20.25pt;height:64pt;width:432pt;z-index:251659264;mso-width-relative:page;mso-height-relative:page;" fillcolor="#FFFFFF [3201]" filled="t" stroked="t" coordsize="21600,21600" o:gfxdata="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ajy6p1QAAAAkBAAAP&#10;AAAAAAAAAAEAIAAAACIAAABkcnMvZG93bnJldi54bWxQSwECFAAUAAAACACHTuJAANgDZFQCAAC3&#10;BAAADgAAAAAAAAABACAAAAAkAQAAZHJzL2Uyb0RvYy54bWxQSwUGAAAAAAYABgBZAQAA6gUAAAAA&#10;">
                <v:fill on="t" focussize="0,0"/>
                <v:stroke weight="0.5pt" color="#000000" joinstyle="round"/>
                <v:imagedata o:title=""/>
                <o:lock v:ext="edit" aspectratio="f"/>
                <v:textbox>
                  <w:txbxContent>
                    <w:p w14:paraId="2EFD3E7F">
                      <w:pPr>
                        <w:spacing w:before="156" w:after="156"/>
                        <w:ind w:firstLine="482"/>
                        <w:rPr>
                          <w:b/>
                          <w:bCs w:val="0"/>
                        </w:rPr>
                      </w:pPr>
                      <w:r>
                        <w:rPr>
                          <w:rFonts w:hint="eastAsia"/>
                          <w:b/>
                          <w:bCs w:val="0"/>
                        </w:rPr>
                        <w:t>本公司及董事会全体成员保证信息披露的内容真实、准确、完整，没有虚假记载、误导性陈述或重大遗漏。</w:t>
                      </w:r>
                    </w:p>
                  </w:txbxContent>
                </v:textbox>
              </v:shape>
            </w:pict>
          </mc:Fallback>
        </mc:AlternateContent>
      </w:r>
    </w:p>
    <w:p w14:paraId="7304B4B1" w14:textId="77777777" w:rsidR="00CE75D3" w:rsidRDefault="00CE75D3">
      <w:pPr>
        <w:spacing w:before="156" w:after="156"/>
        <w:ind w:firstLineChars="0" w:firstLine="0"/>
        <w:jc w:val="center"/>
        <w:rPr>
          <w:rFonts w:cs="Times New Roman"/>
          <w:b/>
          <w:bCs w:val="0"/>
        </w:rPr>
      </w:pPr>
    </w:p>
    <w:p w14:paraId="1694E02A" w14:textId="77777777" w:rsidR="00CE75D3" w:rsidRDefault="00CE75D3">
      <w:pPr>
        <w:spacing w:before="156" w:after="156"/>
        <w:ind w:firstLineChars="0" w:firstLine="0"/>
        <w:jc w:val="center"/>
        <w:rPr>
          <w:rFonts w:cs="Times New Roman"/>
          <w:b/>
          <w:bCs w:val="0"/>
        </w:rPr>
      </w:pPr>
    </w:p>
    <w:p w14:paraId="0B2EB41F" w14:textId="77777777" w:rsidR="00CE75D3" w:rsidRDefault="00000000">
      <w:pPr>
        <w:adjustRightInd/>
        <w:snapToGrid/>
        <w:spacing w:before="156" w:afterLines="0" w:after="0"/>
        <w:ind w:firstLineChars="283" w:firstLine="679"/>
        <w:rPr>
          <w:rFonts w:cs="Times New Roman"/>
          <w:bCs w:val="0"/>
        </w:rPr>
      </w:pPr>
      <w:r>
        <w:rPr>
          <w:rFonts w:cs="Times New Roman"/>
          <w:bCs w:val="0"/>
        </w:rPr>
        <w:t>根据《国务院关于进一步促进资本市场健康发展的若干意见》（国发【</w:t>
      </w:r>
      <w:r>
        <w:rPr>
          <w:rFonts w:cs="Times New Roman"/>
          <w:bCs w:val="0"/>
        </w:rPr>
        <w:t>2014</w:t>
      </w:r>
      <w:r>
        <w:rPr>
          <w:rFonts w:cs="Times New Roman"/>
          <w:bCs w:val="0"/>
        </w:rPr>
        <w:t>】</w:t>
      </w:r>
      <w:r>
        <w:rPr>
          <w:rFonts w:cs="Times New Roman"/>
          <w:bCs w:val="0"/>
        </w:rPr>
        <w:t>17</w:t>
      </w:r>
      <w:r>
        <w:rPr>
          <w:rFonts w:cs="Times New Roman"/>
          <w:bCs w:val="0"/>
        </w:rPr>
        <w:t>号）、《国务院办公厅关于进一步加强资本市场中小投资者合法权益保护工作的意见》（国办发【</w:t>
      </w:r>
      <w:r>
        <w:rPr>
          <w:rFonts w:cs="Times New Roman"/>
          <w:bCs w:val="0"/>
        </w:rPr>
        <w:t>2013</w:t>
      </w:r>
      <w:r>
        <w:rPr>
          <w:rFonts w:cs="Times New Roman"/>
          <w:bCs w:val="0"/>
        </w:rPr>
        <w:t>】</w:t>
      </w:r>
      <w:r>
        <w:rPr>
          <w:rFonts w:cs="Times New Roman"/>
          <w:bCs w:val="0"/>
        </w:rPr>
        <w:t>110</w:t>
      </w:r>
      <w:r>
        <w:rPr>
          <w:rFonts w:cs="Times New Roman"/>
          <w:bCs w:val="0"/>
        </w:rPr>
        <w:t>号）和《关于首发及再融资、重大资产重组摊薄即期回报有关事项的指导意见》（中国证券监督管理委员会公告【</w:t>
      </w:r>
      <w:r>
        <w:rPr>
          <w:rFonts w:cs="Times New Roman"/>
          <w:bCs w:val="0"/>
        </w:rPr>
        <w:t>2015</w:t>
      </w:r>
      <w:r>
        <w:rPr>
          <w:rFonts w:cs="Times New Roman"/>
          <w:bCs w:val="0"/>
        </w:rPr>
        <w:t>】</w:t>
      </w:r>
      <w:r>
        <w:rPr>
          <w:rFonts w:cs="Times New Roman"/>
          <w:bCs w:val="0"/>
        </w:rPr>
        <w:t>31</w:t>
      </w:r>
      <w:r>
        <w:rPr>
          <w:rFonts w:cs="Times New Roman"/>
          <w:bCs w:val="0"/>
        </w:rPr>
        <w:t>号）的相关规定，为保障中小投资者知情权，维护中小投资者利益，公司就本次向特定对象发行</w:t>
      </w:r>
      <w:r>
        <w:rPr>
          <w:rFonts w:cs="Times New Roman"/>
          <w:bCs w:val="0"/>
        </w:rPr>
        <w:t>A</w:t>
      </w:r>
      <w:r>
        <w:rPr>
          <w:rFonts w:cs="Times New Roman"/>
          <w:bCs w:val="0"/>
        </w:rPr>
        <w:t>股股票相关事项对即期回报摊薄的影响进行了认真分析，并提出了具体的填补回报措施，相关主体对公司填补回报措施能够得到切实履行作出了承诺。具体情况如下：</w:t>
      </w:r>
    </w:p>
    <w:p w14:paraId="19C0C608" w14:textId="77777777" w:rsidR="00CE75D3" w:rsidRDefault="00000000">
      <w:pPr>
        <w:keepNext/>
        <w:keepLines/>
        <w:widowControl/>
        <w:adjustRightInd/>
        <w:snapToGrid/>
        <w:spacing w:before="156" w:after="156"/>
        <w:ind w:firstLineChars="0" w:firstLine="0"/>
        <w:outlineLvl w:val="1"/>
        <w:rPr>
          <w:rFonts w:eastAsia="黑体" w:cs="Times New Roman"/>
          <w:b/>
          <w:sz w:val="28"/>
          <w:szCs w:val="28"/>
        </w:rPr>
      </w:pPr>
      <w:r>
        <w:rPr>
          <w:rFonts w:eastAsia="黑体" w:cs="Times New Roman"/>
          <w:b/>
          <w:sz w:val="28"/>
          <w:szCs w:val="28"/>
        </w:rPr>
        <w:t>一、本次发行对公司主要财务指标的影响</w:t>
      </w:r>
    </w:p>
    <w:p w14:paraId="1379E04C" w14:textId="77777777" w:rsidR="00CE75D3" w:rsidRDefault="00000000">
      <w:pPr>
        <w:keepNext/>
        <w:keepLines/>
        <w:widowControl/>
        <w:adjustRightInd/>
        <w:snapToGrid/>
        <w:spacing w:before="156" w:after="156"/>
        <w:ind w:firstLine="482"/>
        <w:outlineLvl w:val="2"/>
        <w:rPr>
          <w:rFonts w:eastAsia="黑体" w:cs="Times New Roman"/>
          <w:b/>
          <w:szCs w:val="28"/>
        </w:rPr>
      </w:pPr>
      <w:r>
        <w:rPr>
          <w:rFonts w:eastAsia="黑体" w:cs="Times New Roman"/>
          <w:b/>
          <w:szCs w:val="28"/>
        </w:rPr>
        <w:t>（一）测算假设及前提</w:t>
      </w:r>
    </w:p>
    <w:p w14:paraId="459E90B6" w14:textId="77777777" w:rsidR="00CE75D3" w:rsidRDefault="00000000">
      <w:pPr>
        <w:adjustRightInd/>
        <w:snapToGrid/>
        <w:spacing w:before="156" w:afterLines="0" w:after="0"/>
        <w:ind w:firstLine="480"/>
        <w:rPr>
          <w:rFonts w:cs="Times New Roman"/>
          <w:bCs w:val="0"/>
        </w:rPr>
      </w:pPr>
      <w:r>
        <w:rPr>
          <w:rFonts w:cs="Times New Roman"/>
          <w:bCs w:val="0"/>
        </w:rPr>
        <w:t>1</w:t>
      </w:r>
      <w:r>
        <w:rPr>
          <w:rFonts w:cs="Times New Roman"/>
          <w:bCs w:val="0"/>
        </w:rPr>
        <w:t>、假设本次向特定对象发行</w:t>
      </w:r>
      <w:r>
        <w:rPr>
          <w:rFonts w:cs="Times New Roman"/>
          <w:bCs w:val="0"/>
        </w:rPr>
        <w:t>A</w:t>
      </w:r>
      <w:r>
        <w:rPr>
          <w:rFonts w:cs="Times New Roman"/>
          <w:bCs w:val="0"/>
        </w:rPr>
        <w:t>股股票于</w:t>
      </w:r>
      <w:r>
        <w:rPr>
          <w:rFonts w:cs="Times New Roman"/>
          <w:bCs w:val="0"/>
        </w:rPr>
        <w:t>2025</w:t>
      </w:r>
      <w:r>
        <w:rPr>
          <w:rFonts w:cs="Times New Roman"/>
          <w:bCs w:val="0"/>
        </w:rPr>
        <w:t>年</w:t>
      </w:r>
      <w:r>
        <w:rPr>
          <w:rFonts w:cs="Times New Roman"/>
          <w:bCs w:val="0"/>
        </w:rPr>
        <w:t>12</w:t>
      </w:r>
      <w:r>
        <w:rPr>
          <w:rFonts w:cs="Times New Roman"/>
          <w:bCs w:val="0"/>
        </w:rPr>
        <w:t>月底完成（该完成时间仅为假设用于测算相关数据，最终以经中国证监会同意注册后实际发行完成时间为准）；</w:t>
      </w:r>
    </w:p>
    <w:p w14:paraId="6F226C6F" w14:textId="77777777" w:rsidR="00CE75D3" w:rsidRDefault="00000000">
      <w:pPr>
        <w:adjustRightInd/>
        <w:snapToGrid/>
        <w:spacing w:before="156" w:afterLines="0" w:after="0"/>
        <w:ind w:firstLine="480"/>
        <w:rPr>
          <w:rFonts w:cs="Times New Roman"/>
          <w:bCs w:val="0"/>
        </w:rPr>
      </w:pPr>
      <w:r>
        <w:rPr>
          <w:rFonts w:cs="Times New Roman"/>
          <w:bCs w:val="0"/>
        </w:rPr>
        <w:t>2</w:t>
      </w:r>
      <w:r>
        <w:rPr>
          <w:rFonts w:cs="Times New Roman"/>
          <w:bCs w:val="0"/>
        </w:rPr>
        <w:t>、假设宏观经济环境、证券市场情况没有发生重大不利变化，公司经营环境、行业政策、主要成本价格等未发生重大不利变化；</w:t>
      </w:r>
    </w:p>
    <w:p w14:paraId="16A6C1C2" w14:textId="77777777" w:rsidR="00CE75D3" w:rsidRDefault="00000000">
      <w:pPr>
        <w:adjustRightInd/>
        <w:snapToGrid/>
        <w:spacing w:before="156" w:afterLines="0" w:after="0"/>
        <w:ind w:firstLine="480"/>
        <w:rPr>
          <w:rFonts w:cs="Times New Roman"/>
          <w:bCs w:val="0"/>
        </w:rPr>
      </w:pPr>
      <w:r>
        <w:rPr>
          <w:rFonts w:cs="Times New Roman"/>
          <w:bCs w:val="0"/>
        </w:rPr>
        <w:t>3</w:t>
      </w:r>
      <w:r>
        <w:rPr>
          <w:rFonts w:cs="Times New Roman"/>
          <w:bCs w:val="0"/>
        </w:rPr>
        <w:t>、假设本次向特定对象发行</w:t>
      </w:r>
      <w:r>
        <w:rPr>
          <w:rFonts w:cs="Times New Roman"/>
          <w:bCs w:val="0"/>
        </w:rPr>
        <w:t>A</w:t>
      </w:r>
      <w:r>
        <w:rPr>
          <w:rFonts w:cs="Times New Roman"/>
          <w:bCs w:val="0"/>
        </w:rPr>
        <w:t>股股票数量为</w:t>
      </w:r>
      <w:r>
        <w:rPr>
          <w:rFonts w:cs="Times New Roman"/>
          <w:bCs w:val="0"/>
        </w:rPr>
        <w:t>47,780,100</w:t>
      </w:r>
      <w:r>
        <w:rPr>
          <w:rFonts w:cs="Times New Roman"/>
          <w:bCs w:val="0"/>
        </w:rPr>
        <w:t>股（最终发行的股份数量以经中国证监会同意注册后发行的股份数量为准）。此假设仅用于测算本次向特定对象发行</w:t>
      </w:r>
      <w:r>
        <w:rPr>
          <w:rFonts w:cs="Times New Roman"/>
          <w:bCs w:val="0"/>
        </w:rPr>
        <w:t>A</w:t>
      </w:r>
      <w:r>
        <w:rPr>
          <w:rFonts w:cs="Times New Roman"/>
          <w:bCs w:val="0"/>
        </w:rPr>
        <w:t>股股票对公司主要财务指标的影响，不代表公司对本次实际发行股份数的判断，最终应以实际发行股份数为准；</w:t>
      </w:r>
    </w:p>
    <w:p w14:paraId="1663E474" w14:textId="77777777" w:rsidR="00CE75D3" w:rsidRDefault="00000000">
      <w:pPr>
        <w:adjustRightInd/>
        <w:snapToGrid/>
        <w:spacing w:before="156" w:afterLines="0" w:after="0"/>
        <w:ind w:firstLine="480"/>
        <w:rPr>
          <w:rFonts w:cs="Times New Roman"/>
          <w:bCs w:val="0"/>
        </w:rPr>
      </w:pPr>
      <w:r>
        <w:rPr>
          <w:rFonts w:cs="Times New Roman"/>
          <w:bCs w:val="0"/>
        </w:rPr>
        <w:t>4</w:t>
      </w:r>
      <w:r>
        <w:rPr>
          <w:rFonts w:cs="Times New Roman"/>
          <w:bCs w:val="0"/>
        </w:rPr>
        <w:t>、不考虑发行费用，假设本次向特定对象发行</w:t>
      </w:r>
      <w:r>
        <w:rPr>
          <w:rFonts w:cs="Times New Roman"/>
          <w:bCs w:val="0"/>
        </w:rPr>
        <w:t>A</w:t>
      </w:r>
      <w:r>
        <w:rPr>
          <w:rFonts w:cs="Times New Roman"/>
          <w:bCs w:val="0"/>
        </w:rPr>
        <w:t>股股票募集资金总额为人民币</w:t>
      </w:r>
      <w:r>
        <w:rPr>
          <w:rFonts w:cs="Times New Roman" w:hint="eastAsia"/>
          <w:bCs w:val="0"/>
        </w:rPr>
        <w:lastRenderedPageBreak/>
        <w:t>97,686.65</w:t>
      </w:r>
      <w:r>
        <w:rPr>
          <w:rFonts w:cs="Times New Roman"/>
          <w:bCs w:val="0"/>
        </w:rPr>
        <w:t>万元；在预测公司总股本时，以本次发行股数为基础，仅考虑本次发行股份的影响，不考虑转增、回购、股份支付及其他因素导致股本发生的变化；</w:t>
      </w:r>
    </w:p>
    <w:p w14:paraId="113FF9BB" w14:textId="77777777" w:rsidR="00CE75D3" w:rsidRDefault="00000000">
      <w:pPr>
        <w:adjustRightInd/>
        <w:snapToGrid/>
        <w:spacing w:before="156" w:afterLines="0" w:after="0"/>
        <w:ind w:firstLine="480"/>
        <w:rPr>
          <w:rFonts w:cs="Times New Roman"/>
          <w:bCs w:val="0"/>
        </w:rPr>
      </w:pPr>
      <w:r>
        <w:rPr>
          <w:rFonts w:cs="Times New Roman"/>
          <w:bCs w:val="0"/>
        </w:rPr>
        <w:t>5</w:t>
      </w:r>
      <w:r>
        <w:rPr>
          <w:rFonts w:cs="Times New Roman"/>
          <w:bCs w:val="0"/>
        </w:rPr>
        <w:t>、根据公司已披露的《福建广生堂药业股份有限公司</w:t>
      </w:r>
      <w:r>
        <w:rPr>
          <w:rFonts w:cs="Times New Roman"/>
          <w:bCs w:val="0"/>
        </w:rPr>
        <w:t>2024</w:t>
      </w:r>
      <w:r>
        <w:rPr>
          <w:rFonts w:cs="Times New Roman"/>
          <w:bCs w:val="0"/>
        </w:rPr>
        <w:t>年度业绩预告》，公司</w:t>
      </w:r>
      <w:r>
        <w:rPr>
          <w:rFonts w:cs="Times New Roman"/>
          <w:bCs w:val="0"/>
        </w:rPr>
        <w:t>2024</w:t>
      </w:r>
      <w:r>
        <w:rPr>
          <w:rFonts w:cs="Times New Roman"/>
          <w:bCs w:val="0"/>
        </w:rPr>
        <w:t>年预计归属于上市公司股东的净利润为</w:t>
      </w:r>
      <w:r>
        <w:rPr>
          <w:rFonts w:cs="Times New Roman"/>
          <w:bCs w:val="0"/>
        </w:rPr>
        <w:t>-16,300</w:t>
      </w:r>
      <w:r>
        <w:rPr>
          <w:rFonts w:cs="Times New Roman"/>
          <w:bCs w:val="0"/>
        </w:rPr>
        <w:t>万元至</w:t>
      </w:r>
      <w:r>
        <w:rPr>
          <w:rFonts w:cs="Times New Roman"/>
          <w:bCs w:val="0"/>
        </w:rPr>
        <w:t>-12,500</w:t>
      </w:r>
      <w:r>
        <w:rPr>
          <w:rFonts w:cs="Times New Roman"/>
          <w:bCs w:val="0"/>
        </w:rPr>
        <w:t>万元，扣除非经常性损益后的净利润为</w:t>
      </w:r>
      <w:r>
        <w:rPr>
          <w:rFonts w:cs="Times New Roman"/>
          <w:bCs w:val="0"/>
        </w:rPr>
        <w:t>-19,500</w:t>
      </w:r>
      <w:r>
        <w:rPr>
          <w:rFonts w:cs="Times New Roman"/>
          <w:bCs w:val="0"/>
        </w:rPr>
        <w:t>万元至</w:t>
      </w:r>
      <w:r>
        <w:rPr>
          <w:rFonts w:cs="Times New Roman"/>
          <w:bCs w:val="0"/>
        </w:rPr>
        <w:t>-15,700</w:t>
      </w:r>
      <w:r>
        <w:rPr>
          <w:rFonts w:cs="Times New Roman"/>
          <w:bCs w:val="0"/>
        </w:rPr>
        <w:t>万元，按平均值计算，假设公司</w:t>
      </w:r>
      <w:r>
        <w:rPr>
          <w:rFonts w:cs="Times New Roman"/>
          <w:bCs w:val="0"/>
        </w:rPr>
        <w:t>2024</w:t>
      </w:r>
      <w:r>
        <w:rPr>
          <w:rFonts w:cs="Times New Roman"/>
          <w:bCs w:val="0"/>
        </w:rPr>
        <w:t>年归属于母公司股东的净利润、扣除非经常性损益后归属于母公司的净利润分别为</w:t>
      </w:r>
      <w:r>
        <w:rPr>
          <w:rFonts w:cs="Times New Roman"/>
          <w:bCs w:val="0"/>
        </w:rPr>
        <w:t>-14,400.00</w:t>
      </w:r>
      <w:r>
        <w:rPr>
          <w:rFonts w:cs="Times New Roman"/>
          <w:bCs w:val="0"/>
        </w:rPr>
        <w:t>万元、</w:t>
      </w:r>
      <w:r>
        <w:rPr>
          <w:rFonts w:cs="Times New Roman"/>
          <w:bCs w:val="0"/>
        </w:rPr>
        <w:t>-17,600.00</w:t>
      </w:r>
      <w:r>
        <w:rPr>
          <w:rFonts w:cs="Times New Roman"/>
          <w:bCs w:val="0"/>
        </w:rPr>
        <w:t>万元；</w:t>
      </w:r>
    </w:p>
    <w:p w14:paraId="5E5C2844" w14:textId="77777777" w:rsidR="00CE75D3" w:rsidRDefault="00000000">
      <w:pPr>
        <w:adjustRightInd/>
        <w:snapToGrid/>
        <w:spacing w:before="156" w:afterLines="0" w:after="0"/>
        <w:ind w:firstLine="480"/>
        <w:rPr>
          <w:rFonts w:cs="Times New Roman"/>
          <w:bCs w:val="0"/>
        </w:rPr>
      </w:pPr>
      <w:r>
        <w:rPr>
          <w:rFonts w:cs="Times New Roman"/>
          <w:bCs w:val="0"/>
        </w:rPr>
        <w:t>6</w:t>
      </w:r>
      <w:r>
        <w:rPr>
          <w:rFonts w:cs="Times New Roman"/>
          <w:bCs w:val="0"/>
        </w:rPr>
        <w:t>、假设公司</w:t>
      </w:r>
      <w:r>
        <w:rPr>
          <w:rFonts w:cs="Times New Roman"/>
          <w:bCs w:val="0"/>
        </w:rPr>
        <w:t>2025</w:t>
      </w:r>
      <w:r>
        <w:rPr>
          <w:rFonts w:cs="Times New Roman"/>
          <w:bCs w:val="0"/>
        </w:rPr>
        <w:t>年归属于母公司股东的净利润及扣除非经常性损益后归属于母公司股东的净利润分别按以下三种情况进行测算：（</w:t>
      </w:r>
      <w:r>
        <w:rPr>
          <w:rFonts w:cs="Times New Roman"/>
          <w:bCs w:val="0"/>
        </w:rPr>
        <w:t>1</w:t>
      </w:r>
      <w:r>
        <w:rPr>
          <w:rFonts w:cs="Times New Roman"/>
          <w:bCs w:val="0"/>
        </w:rPr>
        <w:t>）与</w:t>
      </w:r>
      <w:r>
        <w:rPr>
          <w:rFonts w:cs="Times New Roman"/>
          <w:bCs w:val="0"/>
        </w:rPr>
        <w:t>2024</w:t>
      </w:r>
      <w:r>
        <w:rPr>
          <w:rFonts w:cs="Times New Roman"/>
          <w:bCs w:val="0"/>
        </w:rPr>
        <w:t>年财务数据相比增亏</w:t>
      </w:r>
      <w:r>
        <w:rPr>
          <w:rFonts w:cs="Times New Roman"/>
          <w:bCs w:val="0"/>
        </w:rPr>
        <w:t>50%</w:t>
      </w:r>
      <w:r>
        <w:rPr>
          <w:rFonts w:cs="Times New Roman"/>
          <w:bCs w:val="0"/>
        </w:rPr>
        <w:t>；（</w:t>
      </w:r>
      <w:r>
        <w:rPr>
          <w:rFonts w:cs="Times New Roman"/>
          <w:bCs w:val="0"/>
        </w:rPr>
        <w:t>2</w:t>
      </w:r>
      <w:r>
        <w:rPr>
          <w:rFonts w:cs="Times New Roman"/>
          <w:bCs w:val="0"/>
        </w:rPr>
        <w:t>）与</w:t>
      </w:r>
      <w:r>
        <w:rPr>
          <w:rFonts w:cs="Times New Roman"/>
          <w:bCs w:val="0"/>
        </w:rPr>
        <w:t>2024</w:t>
      </w:r>
      <w:r>
        <w:rPr>
          <w:rFonts w:cs="Times New Roman"/>
          <w:bCs w:val="0"/>
        </w:rPr>
        <w:t>年财务数据持平；（</w:t>
      </w:r>
      <w:r>
        <w:rPr>
          <w:rFonts w:cs="Times New Roman"/>
          <w:bCs w:val="0"/>
        </w:rPr>
        <w:t>3</w:t>
      </w:r>
      <w:r>
        <w:rPr>
          <w:rFonts w:cs="Times New Roman"/>
          <w:bCs w:val="0"/>
        </w:rPr>
        <w:t>）与</w:t>
      </w:r>
      <w:r>
        <w:rPr>
          <w:rFonts w:cs="Times New Roman"/>
          <w:bCs w:val="0"/>
        </w:rPr>
        <w:t>2024</w:t>
      </w:r>
      <w:r>
        <w:rPr>
          <w:rFonts w:cs="Times New Roman"/>
          <w:bCs w:val="0"/>
        </w:rPr>
        <w:t>年财务数据相比减亏</w:t>
      </w:r>
      <w:r>
        <w:rPr>
          <w:rFonts w:cs="Times New Roman"/>
          <w:bCs w:val="0"/>
        </w:rPr>
        <w:t>50%</w:t>
      </w:r>
      <w:r>
        <w:rPr>
          <w:rFonts w:cs="Times New Roman"/>
          <w:bCs w:val="0"/>
        </w:rPr>
        <w:t>；</w:t>
      </w:r>
    </w:p>
    <w:p w14:paraId="10818E6D" w14:textId="77777777" w:rsidR="00CE75D3" w:rsidRDefault="00000000">
      <w:pPr>
        <w:adjustRightInd/>
        <w:snapToGrid/>
        <w:spacing w:before="156" w:afterLines="0" w:after="0"/>
        <w:ind w:firstLine="480"/>
        <w:rPr>
          <w:rFonts w:cs="Times New Roman"/>
          <w:bCs w:val="0"/>
        </w:rPr>
      </w:pPr>
      <w:r>
        <w:rPr>
          <w:rFonts w:cs="Times New Roman"/>
          <w:bCs w:val="0"/>
        </w:rPr>
        <w:t>7</w:t>
      </w:r>
      <w:r>
        <w:rPr>
          <w:rFonts w:cs="Times New Roman"/>
          <w:bCs w:val="0"/>
        </w:rPr>
        <w:t>、测算时未考虑募集资金到账后，对公司生产经营、财务状况（如财务费用、投资收益）等的影响；</w:t>
      </w:r>
    </w:p>
    <w:p w14:paraId="55419748" w14:textId="77777777" w:rsidR="00CE75D3" w:rsidRDefault="00000000">
      <w:pPr>
        <w:adjustRightInd/>
        <w:snapToGrid/>
        <w:spacing w:before="156" w:afterLines="0" w:after="0"/>
        <w:ind w:firstLine="480"/>
        <w:rPr>
          <w:rFonts w:cs="Times New Roman"/>
          <w:bCs w:val="0"/>
        </w:rPr>
      </w:pPr>
      <w:r>
        <w:rPr>
          <w:rFonts w:cs="Times New Roman"/>
          <w:bCs w:val="0"/>
        </w:rPr>
        <w:t>8</w:t>
      </w:r>
      <w:r>
        <w:rPr>
          <w:rFonts w:cs="Times New Roman"/>
          <w:bCs w:val="0"/>
        </w:rPr>
        <w:t>、上述假设仅为测试本次向特定对象发行</w:t>
      </w:r>
      <w:r>
        <w:rPr>
          <w:rFonts w:cs="Times New Roman"/>
          <w:bCs w:val="0"/>
        </w:rPr>
        <w:t>A</w:t>
      </w:r>
      <w:r>
        <w:rPr>
          <w:rFonts w:cs="Times New Roman"/>
          <w:bCs w:val="0"/>
        </w:rPr>
        <w:t>股股票摊薄即期回报对公司主要财务指标的影响，不代表公司对</w:t>
      </w:r>
      <w:r>
        <w:rPr>
          <w:rFonts w:cs="Times New Roman"/>
          <w:bCs w:val="0"/>
        </w:rPr>
        <w:t>2025</w:t>
      </w:r>
      <w:r>
        <w:rPr>
          <w:rFonts w:cs="Times New Roman"/>
          <w:bCs w:val="0"/>
        </w:rPr>
        <w:t>年度的经营情况及趋势的判断，亦不构成盈利预测，投资者不应据此进行投资决策。</w:t>
      </w:r>
    </w:p>
    <w:p w14:paraId="50557B06" w14:textId="77777777" w:rsidR="00CE75D3" w:rsidRDefault="00000000">
      <w:pPr>
        <w:keepNext/>
        <w:keepLines/>
        <w:widowControl/>
        <w:adjustRightInd/>
        <w:snapToGrid/>
        <w:spacing w:before="156" w:after="156"/>
        <w:ind w:firstLine="482"/>
        <w:outlineLvl w:val="2"/>
        <w:rPr>
          <w:rFonts w:eastAsia="黑体" w:cs="Times New Roman"/>
          <w:b/>
          <w:szCs w:val="28"/>
        </w:rPr>
      </w:pPr>
      <w:r>
        <w:rPr>
          <w:rFonts w:eastAsia="黑体" w:cs="Times New Roman"/>
          <w:b/>
          <w:szCs w:val="28"/>
        </w:rPr>
        <w:t>（二）对公司主要财务指标的影响</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37"/>
        <w:gridCol w:w="2033"/>
        <w:gridCol w:w="1664"/>
        <w:gridCol w:w="1662"/>
      </w:tblGrid>
      <w:tr w:rsidR="00CE75D3" w14:paraId="18EED0E9" w14:textId="77777777">
        <w:trPr>
          <w:trHeight w:val="468"/>
          <w:tblHeader/>
          <w:jc w:val="center"/>
        </w:trPr>
        <w:tc>
          <w:tcPr>
            <w:tcW w:w="2021" w:type="pct"/>
            <w:vMerge w:val="restart"/>
            <w:noWrap/>
            <w:vAlign w:val="center"/>
          </w:tcPr>
          <w:p w14:paraId="7A5D7529" w14:textId="77777777" w:rsidR="00CE75D3" w:rsidRDefault="00000000">
            <w:pPr>
              <w:widowControl/>
              <w:spacing w:beforeLines="0" w:before="0" w:afterLines="0" w:after="0" w:line="240" w:lineRule="auto"/>
              <w:ind w:firstLineChars="0" w:firstLine="0"/>
              <w:contextualSpacing/>
              <w:jc w:val="center"/>
              <w:rPr>
                <w:rFonts w:cs="Times New Roman"/>
                <w:b/>
                <w:color w:val="000000"/>
                <w:kern w:val="0"/>
                <w:sz w:val="22"/>
              </w:rPr>
            </w:pPr>
            <w:r>
              <w:rPr>
                <w:rFonts w:cs="Times New Roman"/>
                <w:b/>
                <w:color w:val="000000"/>
                <w:kern w:val="0"/>
                <w:sz w:val="22"/>
              </w:rPr>
              <w:t>项目</w:t>
            </w:r>
          </w:p>
        </w:tc>
        <w:tc>
          <w:tcPr>
            <w:tcW w:w="1130" w:type="pct"/>
            <w:vMerge w:val="restart"/>
            <w:vAlign w:val="center"/>
          </w:tcPr>
          <w:p w14:paraId="6E6499E2" w14:textId="77777777" w:rsidR="00CE75D3" w:rsidRDefault="00000000">
            <w:pPr>
              <w:widowControl/>
              <w:spacing w:beforeLines="0" w:before="0" w:afterLines="0" w:after="0" w:line="240" w:lineRule="auto"/>
              <w:ind w:firstLineChars="0" w:firstLine="0"/>
              <w:contextualSpacing/>
              <w:jc w:val="center"/>
              <w:rPr>
                <w:rFonts w:cs="Times New Roman"/>
                <w:b/>
                <w:color w:val="000000"/>
                <w:kern w:val="0"/>
                <w:sz w:val="21"/>
                <w:szCs w:val="21"/>
              </w:rPr>
            </w:pPr>
            <w:r>
              <w:rPr>
                <w:rFonts w:cs="Times New Roman"/>
                <w:b/>
                <w:color w:val="000000"/>
                <w:kern w:val="0"/>
                <w:sz w:val="21"/>
                <w:szCs w:val="21"/>
              </w:rPr>
              <w:t>2024</w:t>
            </w:r>
            <w:r>
              <w:rPr>
                <w:rFonts w:cs="Times New Roman"/>
                <w:b/>
                <w:color w:val="000000"/>
                <w:kern w:val="0"/>
                <w:sz w:val="21"/>
                <w:szCs w:val="21"/>
              </w:rPr>
              <w:t>年度</w:t>
            </w:r>
            <w:r>
              <w:rPr>
                <w:rFonts w:cs="Times New Roman"/>
                <w:b/>
                <w:color w:val="000000"/>
                <w:kern w:val="0"/>
                <w:sz w:val="21"/>
                <w:szCs w:val="21"/>
              </w:rPr>
              <w:t>/</w:t>
            </w:r>
          </w:p>
          <w:p w14:paraId="247053D6" w14:textId="77777777" w:rsidR="00CE75D3" w:rsidRDefault="00000000">
            <w:pPr>
              <w:widowControl/>
              <w:spacing w:beforeLines="0" w:before="0" w:afterLines="0" w:after="0" w:line="240" w:lineRule="auto"/>
              <w:ind w:firstLineChars="0" w:firstLine="0"/>
              <w:contextualSpacing/>
              <w:jc w:val="center"/>
              <w:rPr>
                <w:rFonts w:cs="Times New Roman"/>
                <w:b/>
                <w:color w:val="000000"/>
                <w:kern w:val="0"/>
                <w:sz w:val="21"/>
                <w:szCs w:val="21"/>
              </w:rPr>
            </w:pPr>
            <w:r>
              <w:rPr>
                <w:rFonts w:cs="Times New Roman"/>
                <w:b/>
                <w:color w:val="000000"/>
                <w:kern w:val="0"/>
                <w:sz w:val="21"/>
                <w:szCs w:val="21"/>
              </w:rPr>
              <w:t>2024</w:t>
            </w:r>
            <w:r>
              <w:rPr>
                <w:rFonts w:cs="Times New Roman"/>
                <w:b/>
                <w:color w:val="000000"/>
                <w:kern w:val="0"/>
                <w:sz w:val="21"/>
                <w:szCs w:val="21"/>
              </w:rPr>
              <w:t>年</w:t>
            </w:r>
            <w:r>
              <w:rPr>
                <w:rFonts w:cs="Times New Roman"/>
                <w:b/>
                <w:color w:val="000000"/>
                <w:kern w:val="0"/>
                <w:sz w:val="21"/>
                <w:szCs w:val="21"/>
              </w:rPr>
              <w:t>12</w:t>
            </w:r>
            <w:r>
              <w:rPr>
                <w:rFonts w:cs="Times New Roman"/>
                <w:b/>
                <w:color w:val="000000"/>
                <w:kern w:val="0"/>
                <w:sz w:val="21"/>
                <w:szCs w:val="21"/>
              </w:rPr>
              <w:t>月</w:t>
            </w:r>
            <w:r>
              <w:rPr>
                <w:rFonts w:cs="Times New Roman"/>
                <w:b/>
                <w:color w:val="000000"/>
                <w:kern w:val="0"/>
                <w:sz w:val="21"/>
                <w:szCs w:val="21"/>
              </w:rPr>
              <w:t>31</w:t>
            </w:r>
            <w:r>
              <w:rPr>
                <w:rFonts w:cs="Times New Roman"/>
                <w:b/>
                <w:color w:val="000000"/>
                <w:kern w:val="0"/>
                <w:sz w:val="21"/>
                <w:szCs w:val="21"/>
              </w:rPr>
              <w:t>日</w:t>
            </w:r>
          </w:p>
        </w:tc>
        <w:tc>
          <w:tcPr>
            <w:tcW w:w="1849" w:type="pct"/>
            <w:gridSpan w:val="2"/>
            <w:vAlign w:val="center"/>
          </w:tcPr>
          <w:p w14:paraId="044CFF67" w14:textId="77777777" w:rsidR="00CE75D3" w:rsidRDefault="00000000">
            <w:pPr>
              <w:widowControl/>
              <w:spacing w:beforeLines="0" w:before="0" w:afterLines="0" w:after="0" w:line="240" w:lineRule="auto"/>
              <w:ind w:firstLineChars="0" w:firstLine="0"/>
              <w:contextualSpacing/>
              <w:jc w:val="center"/>
              <w:rPr>
                <w:rFonts w:cs="Times New Roman"/>
                <w:b/>
                <w:color w:val="000000"/>
                <w:kern w:val="0"/>
                <w:sz w:val="21"/>
                <w:szCs w:val="21"/>
              </w:rPr>
            </w:pPr>
            <w:r>
              <w:rPr>
                <w:rFonts w:cs="Times New Roman"/>
                <w:b/>
                <w:color w:val="000000"/>
                <w:kern w:val="0"/>
                <w:sz w:val="21"/>
                <w:szCs w:val="21"/>
              </w:rPr>
              <w:t>2025</w:t>
            </w:r>
            <w:r>
              <w:rPr>
                <w:rFonts w:cs="Times New Roman"/>
                <w:b/>
                <w:color w:val="000000"/>
                <w:kern w:val="0"/>
                <w:sz w:val="21"/>
                <w:szCs w:val="21"/>
              </w:rPr>
              <w:t>年度</w:t>
            </w:r>
            <w:r>
              <w:rPr>
                <w:rFonts w:cs="Times New Roman"/>
                <w:b/>
                <w:color w:val="000000"/>
                <w:kern w:val="0"/>
                <w:sz w:val="21"/>
                <w:szCs w:val="21"/>
              </w:rPr>
              <w:t>/2025</w:t>
            </w:r>
            <w:r>
              <w:rPr>
                <w:rFonts w:cs="Times New Roman"/>
                <w:b/>
                <w:color w:val="000000"/>
                <w:kern w:val="0"/>
                <w:sz w:val="21"/>
                <w:szCs w:val="21"/>
              </w:rPr>
              <w:t>年</w:t>
            </w:r>
            <w:r>
              <w:rPr>
                <w:rFonts w:cs="Times New Roman"/>
                <w:b/>
                <w:color w:val="000000"/>
                <w:kern w:val="0"/>
                <w:sz w:val="21"/>
                <w:szCs w:val="21"/>
              </w:rPr>
              <w:t>12</w:t>
            </w:r>
            <w:r>
              <w:rPr>
                <w:rFonts w:cs="Times New Roman"/>
                <w:b/>
                <w:color w:val="000000"/>
                <w:kern w:val="0"/>
                <w:sz w:val="21"/>
                <w:szCs w:val="21"/>
              </w:rPr>
              <w:t>月</w:t>
            </w:r>
            <w:r>
              <w:rPr>
                <w:rFonts w:cs="Times New Roman"/>
                <w:b/>
                <w:color w:val="000000"/>
                <w:kern w:val="0"/>
                <w:sz w:val="21"/>
                <w:szCs w:val="21"/>
              </w:rPr>
              <w:t>31</w:t>
            </w:r>
            <w:r>
              <w:rPr>
                <w:rFonts w:cs="Times New Roman"/>
                <w:b/>
                <w:color w:val="000000"/>
                <w:kern w:val="0"/>
                <w:sz w:val="21"/>
                <w:szCs w:val="21"/>
              </w:rPr>
              <w:t>日</w:t>
            </w:r>
          </w:p>
        </w:tc>
      </w:tr>
      <w:tr w:rsidR="00CE75D3" w14:paraId="051BC142" w14:textId="77777777">
        <w:trPr>
          <w:trHeight w:val="576"/>
          <w:tblHeader/>
          <w:jc w:val="center"/>
        </w:trPr>
        <w:tc>
          <w:tcPr>
            <w:tcW w:w="2021" w:type="pct"/>
            <w:vMerge/>
            <w:vAlign w:val="center"/>
          </w:tcPr>
          <w:p w14:paraId="1CD140DB" w14:textId="77777777" w:rsidR="00CE75D3" w:rsidRDefault="00CE75D3">
            <w:pPr>
              <w:widowControl/>
              <w:spacing w:beforeLines="0" w:before="0" w:afterLines="0" w:after="0" w:line="240" w:lineRule="auto"/>
              <w:ind w:firstLineChars="0" w:firstLine="0"/>
              <w:contextualSpacing/>
              <w:jc w:val="left"/>
              <w:rPr>
                <w:rFonts w:cs="Times New Roman"/>
                <w:b/>
                <w:color w:val="000000"/>
                <w:kern w:val="0"/>
                <w:sz w:val="22"/>
              </w:rPr>
            </w:pPr>
          </w:p>
        </w:tc>
        <w:tc>
          <w:tcPr>
            <w:tcW w:w="1130" w:type="pct"/>
            <w:vMerge/>
            <w:vAlign w:val="center"/>
          </w:tcPr>
          <w:p w14:paraId="22B1CC9B" w14:textId="77777777" w:rsidR="00CE75D3" w:rsidRDefault="00CE75D3">
            <w:pPr>
              <w:widowControl/>
              <w:spacing w:beforeLines="0" w:before="0" w:afterLines="0" w:after="0" w:line="240" w:lineRule="auto"/>
              <w:ind w:firstLineChars="0" w:firstLine="0"/>
              <w:contextualSpacing/>
              <w:jc w:val="center"/>
              <w:rPr>
                <w:rFonts w:cs="Times New Roman"/>
                <w:b/>
                <w:color w:val="000000"/>
                <w:kern w:val="0"/>
                <w:sz w:val="21"/>
                <w:szCs w:val="21"/>
              </w:rPr>
            </w:pPr>
          </w:p>
        </w:tc>
        <w:tc>
          <w:tcPr>
            <w:tcW w:w="925" w:type="pct"/>
            <w:vAlign w:val="center"/>
          </w:tcPr>
          <w:p w14:paraId="1A030EE2" w14:textId="77777777" w:rsidR="00CE75D3" w:rsidRDefault="00000000">
            <w:pPr>
              <w:widowControl/>
              <w:spacing w:beforeLines="0" w:before="0" w:afterLines="0" w:after="0" w:line="240" w:lineRule="auto"/>
              <w:ind w:firstLineChars="0" w:firstLine="0"/>
              <w:contextualSpacing/>
              <w:jc w:val="center"/>
              <w:rPr>
                <w:rFonts w:cs="Times New Roman"/>
                <w:b/>
                <w:color w:val="000000"/>
                <w:kern w:val="0"/>
                <w:sz w:val="21"/>
                <w:szCs w:val="21"/>
              </w:rPr>
            </w:pPr>
            <w:r>
              <w:rPr>
                <w:rFonts w:cs="Times New Roman"/>
                <w:b/>
                <w:color w:val="000000"/>
                <w:kern w:val="0"/>
                <w:sz w:val="21"/>
                <w:szCs w:val="21"/>
              </w:rPr>
              <w:t>本次发行前</w:t>
            </w:r>
          </w:p>
        </w:tc>
        <w:tc>
          <w:tcPr>
            <w:tcW w:w="924" w:type="pct"/>
            <w:vAlign w:val="center"/>
          </w:tcPr>
          <w:p w14:paraId="025EACE7" w14:textId="77777777" w:rsidR="00CE75D3" w:rsidRDefault="00000000">
            <w:pPr>
              <w:widowControl/>
              <w:spacing w:beforeLines="0" w:before="0" w:afterLines="0" w:after="0" w:line="240" w:lineRule="auto"/>
              <w:ind w:firstLineChars="0" w:firstLine="0"/>
              <w:contextualSpacing/>
              <w:jc w:val="center"/>
              <w:rPr>
                <w:rFonts w:cs="Times New Roman"/>
                <w:b/>
                <w:color w:val="000000"/>
                <w:kern w:val="0"/>
                <w:sz w:val="21"/>
                <w:szCs w:val="21"/>
              </w:rPr>
            </w:pPr>
            <w:r>
              <w:rPr>
                <w:rFonts w:cs="Times New Roman"/>
                <w:b/>
                <w:color w:val="000000"/>
                <w:kern w:val="0"/>
                <w:sz w:val="21"/>
                <w:szCs w:val="21"/>
              </w:rPr>
              <w:t>本次发行后</w:t>
            </w:r>
          </w:p>
        </w:tc>
      </w:tr>
      <w:tr w:rsidR="00CE75D3" w14:paraId="23C0F231" w14:textId="77777777">
        <w:trPr>
          <w:trHeight w:val="480"/>
          <w:jc w:val="center"/>
        </w:trPr>
        <w:tc>
          <w:tcPr>
            <w:tcW w:w="2021" w:type="pct"/>
            <w:vAlign w:val="center"/>
          </w:tcPr>
          <w:p w14:paraId="14D1C252"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期末总股本（万股）</w:t>
            </w:r>
          </w:p>
        </w:tc>
        <w:tc>
          <w:tcPr>
            <w:tcW w:w="1130" w:type="pct"/>
            <w:noWrap/>
            <w:vAlign w:val="center"/>
          </w:tcPr>
          <w:p w14:paraId="4E1876E1"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bCs w:val="0"/>
                <w:color w:val="000000"/>
                <w:kern w:val="0"/>
                <w:sz w:val="21"/>
                <w:szCs w:val="21"/>
              </w:rPr>
              <w:t>15,926.70</w:t>
            </w:r>
          </w:p>
        </w:tc>
        <w:tc>
          <w:tcPr>
            <w:tcW w:w="925" w:type="pct"/>
            <w:noWrap/>
            <w:vAlign w:val="center"/>
          </w:tcPr>
          <w:p w14:paraId="1B95820D"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bCs w:val="0"/>
                <w:color w:val="000000"/>
                <w:kern w:val="0"/>
                <w:sz w:val="21"/>
                <w:szCs w:val="21"/>
              </w:rPr>
              <w:t>15,926.70</w:t>
            </w:r>
          </w:p>
        </w:tc>
        <w:tc>
          <w:tcPr>
            <w:tcW w:w="924" w:type="pct"/>
            <w:noWrap/>
            <w:vAlign w:val="center"/>
          </w:tcPr>
          <w:p w14:paraId="51AAE285"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bCs w:val="0"/>
                <w:color w:val="000000"/>
                <w:kern w:val="0"/>
                <w:sz w:val="21"/>
                <w:szCs w:val="21"/>
              </w:rPr>
              <w:t>20,704.71</w:t>
            </w:r>
          </w:p>
        </w:tc>
      </w:tr>
      <w:tr w:rsidR="00CE75D3" w14:paraId="01F22AE3" w14:textId="77777777">
        <w:trPr>
          <w:trHeight w:val="576"/>
          <w:jc w:val="center"/>
        </w:trPr>
        <w:tc>
          <w:tcPr>
            <w:tcW w:w="5000" w:type="pct"/>
            <w:gridSpan w:val="4"/>
            <w:vAlign w:val="center"/>
          </w:tcPr>
          <w:p w14:paraId="3C180E87" w14:textId="77777777" w:rsidR="00CE75D3" w:rsidRDefault="00000000">
            <w:pPr>
              <w:widowControl/>
              <w:spacing w:beforeLines="0" w:before="0" w:afterLines="0" w:after="0" w:line="240" w:lineRule="auto"/>
              <w:ind w:firstLineChars="0" w:firstLine="0"/>
              <w:contextualSpacing/>
              <w:rPr>
                <w:rFonts w:cs="Times New Roman"/>
                <w:b/>
                <w:color w:val="000000"/>
                <w:kern w:val="0"/>
                <w:sz w:val="22"/>
              </w:rPr>
            </w:pPr>
            <w:r>
              <w:rPr>
                <w:rFonts w:cs="Times New Roman"/>
                <w:b/>
                <w:color w:val="000000"/>
                <w:kern w:val="0"/>
                <w:sz w:val="22"/>
              </w:rPr>
              <w:t>情形</w:t>
            </w:r>
            <w:r>
              <w:rPr>
                <w:rFonts w:cs="Times New Roman"/>
                <w:b/>
                <w:color w:val="000000"/>
                <w:kern w:val="0"/>
                <w:sz w:val="22"/>
              </w:rPr>
              <w:t>1</w:t>
            </w:r>
            <w:r>
              <w:rPr>
                <w:rFonts w:cs="Times New Roman"/>
                <w:b/>
                <w:color w:val="000000"/>
                <w:kern w:val="0"/>
                <w:sz w:val="22"/>
              </w:rPr>
              <w:t>：</w:t>
            </w:r>
            <w:r>
              <w:rPr>
                <w:rFonts w:cs="Times New Roman"/>
                <w:b/>
                <w:color w:val="000000"/>
                <w:kern w:val="0"/>
                <w:sz w:val="22"/>
              </w:rPr>
              <w:t>2025</w:t>
            </w:r>
            <w:r>
              <w:rPr>
                <w:rFonts w:cs="Times New Roman"/>
                <w:b/>
                <w:color w:val="000000"/>
                <w:kern w:val="0"/>
                <w:sz w:val="22"/>
              </w:rPr>
              <w:t>年实现的归属于母公司股东的净利润和扣除非经常性损益后归属于母公司股东的净利润较</w:t>
            </w:r>
            <w:r>
              <w:rPr>
                <w:rFonts w:cs="Times New Roman"/>
                <w:b/>
                <w:color w:val="000000"/>
                <w:kern w:val="0"/>
                <w:sz w:val="22"/>
              </w:rPr>
              <w:t>2024</w:t>
            </w:r>
            <w:r>
              <w:rPr>
                <w:rFonts w:cs="Times New Roman"/>
                <w:b/>
                <w:color w:val="000000"/>
                <w:kern w:val="0"/>
                <w:sz w:val="22"/>
              </w:rPr>
              <w:t>年度增亏</w:t>
            </w:r>
            <w:r>
              <w:rPr>
                <w:rFonts w:cs="Times New Roman"/>
                <w:b/>
                <w:color w:val="000000"/>
                <w:kern w:val="0"/>
                <w:sz w:val="22"/>
              </w:rPr>
              <w:t>50%</w:t>
            </w:r>
          </w:p>
        </w:tc>
      </w:tr>
      <w:tr w:rsidR="00CE75D3" w14:paraId="48189CAB" w14:textId="77777777">
        <w:trPr>
          <w:trHeight w:val="576"/>
          <w:jc w:val="center"/>
        </w:trPr>
        <w:tc>
          <w:tcPr>
            <w:tcW w:w="2021" w:type="pct"/>
            <w:vAlign w:val="center"/>
          </w:tcPr>
          <w:p w14:paraId="4263F1C6"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归属于母公司股东的净利润（万元）</w:t>
            </w:r>
          </w:p>
        </w:tc>
        <w:tc>
          <w:tcPr>
            <w:tcW w:w="1130" w:type="pct"/>
            <w:vAlign w:val="center"/>
          </w:tcPr>
          <w:p w14:paraId="0F3F1253"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-14,400.00 </w:t>
            </w:r>
          </w:p>
        </w:tc>
        <w:tc>
          <w:tcPr>
            <w:tcW w:w="925" w:type="pct"/>
            <w:noWrap/>
            <w:vAlign w:val="center"/>
          </w:tcPr>
          <w:p w14:paraId="01AEB905"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-21,600.00 </w:t>
            </w:r>
          </w:p>
        </w:tc>
        <w:tc>
          <w:tcPr>
            <w:tcW w:w="924" w:type="pct"/>
            <w:noWrap/>
            <w:vAlign w:val="center"/>
          </w:tcPr>
          <w:p w14:paraId="26FCB781"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-21,600.00 </w:t>
            </w:r>
          </w:p>
        </w:tc>
      </w:tr>
      <w:tr w:rsidR="00CE75D3" w14:paraId="5F16E0FC" w14:textId="77777777">
        <w:trPr>
          <w:trHeight w:val="480"/>
          <w:jc w:val="center"/>
        </w:trPr>
        <w:tc>
          <w:tcPr>
            <w:tcW w:w="2021" w:type="pct"/>
            <w:vAlign w:val="center"/>
          </w:tcPr>
          <w:p w14:paraId="733F1D91"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基本每股收益（元</w:t>
            </w:r>
            <w:r>
              <w:rPr>
                <w:rFonts w:cs="Times New Roman"/>
                <w:bCs w:val="0"/>
                <w:color w:val="000000"/>
                <w:kern w:val="0"/>
                <w:sz w:val="22"/>
              </w:rPr>
              <w:t>/</w:t>
            </w:r>
            <w:r>
              <w:rPr>
                <w:rFonts w:cs="Times New Roman"/>
                <w:bCs w:val="0"/>
                <w:color w:val="000000"/>
                <w:kern w:val="0"/>
                <w:sz w:val="22"/>
              </w:rPr>
              <w:t>股）</w:t>
            </w:r>
          </w:p>
        </w:tc>
        <w:tc>
          <w:tcPr>
            <w:tcW w:w="1130" w:type="pct"/>
            <w:vAlign w:val="center"/>
          </w:tcPr>
          <w:p w14:paraId="575E2E86"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-0.90 </w:t>
            </w:r>
          </w:p>
        </w:tc>
        <w:tc>
          <w:tcPr>
            <w:tcW w:w="925" w:type="pct"/>
            <w:vAlign w:val="center"/>
          </w:tcPr>
          <w:p w14:paraId="532BA56B"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-1.36 </w:t>
            </w:r>
          </w:p>
        </w:tc>
        <w:tc>
          <w:tcPr>
            <w:tcW w:w="924" w:type="pct"/>
            <w:vAlign w:val="center"/>
          </w:tcPr>
          <w:p w14:paraId="4C75D270"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rPr>
            </w:pPr>
            <w:r>
              <w:rPr>
                <w:rFonts w:cs="Times New Roman"/>
                <w:sz w:val="21"/>
                <w:szCs w:val="21"/>
              </w:rPr>
              <w:t xml:space="preserve">-1.18 </w:t>
            </w:r>
          </w:p>
        </w:tc>
      </w:tr>
      <w:tr w:rsidR="00CE75D3" w14:paraId="3885D265" w14:textId="77777777">
        <w:trPr>
          <w:trHeight w:val="576"/>
          <w:jc w:val="center"/>
        </w:trPr>
        <w:tc>
          <w:tcPr>
            <w:tcW w:w="2021" w:type="pct"/>
            <w:vAlign w:val="center"/>
          </w:tcPr>
          <w:p w14:paraId="0BC21CA2"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稀释每股收益（元</w:t>
            </w:r>
            <w:r>
              <w:rPr>
                <w:rFonts w:cs="Times New Roman"/>
                <w:bCs w:val="0"/>
                <w:color w:val="000000"/>
                <w:kern w:val="0"/>
                <w:sz w:val="22"/>
              </w:rPr>
              <w:t>/</w:t>
            </w:r>
            <w:r>
              <w:rPr>
                <w:rFonts w:cs="Times New Roman"/>
                <w:bCs w:val="0"/>
                <w:color w:val="000000"/>
                <w:kern w:val="0"/>
                <w:sz w:val="22"/>
              </w:rPr>
              <w:t>股）</w:t>
            </w:r>
          </w:p>
        </w:tc>
        <w:tc>
          <w:tcPr>
            <w:tcW w:w="1130" w:type="pct"/>
            <w:vAlign w:val="center"/>
          </w:tcPr>
          <w:p w14:paraId="30D13AB6"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-0.90 </w:t>
            </w:r>
          </w:p>
        </w:tc>
        <w:tc>
          <w:tcPr>
            <w:tcW w:w="925" w:type="pct"/>
            <w:vAlign w:val="center"/>
          </w:tcPr>
          <w:p w14:paraId="65C61302"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rPr>
            </w:pPr>
            <w:r>
              <w:rPr>
                <w:rFonts w:cs="Times New Roman"/>
                <w:sz w:val="21"/>
                <w:szCs w:val="21"/>
              </w:rPr>
              <w:t xml:space="preserve">-1.36 </w:t>
            </w:r>
          </w:p>
        </w:tc>
        <w:tc>
          <w:tcPr>
            <w:tcW w:w="924" w:type="pct"/>
            <w:vAlign w:val="center"/>
          </w:tcPr>
          <w:p w14:paraId="7AD42B16"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rPr>
            </w:pPr>
            <w:r>
              <w:rPr>
                <w:rFonts w:cs="Times New Roman"/>
                <w:sz w:val="21"/>
                <w:szCs w:val="21"/>
              </w:rPr>
              <w:t xml:space="preserve">-1.18 </w:t>
            </w:r>
          </w:p>
        </w:tc>
      </w:tr>
      <w:tr w:rsidR="00CE75D3" w14:paraId="7D90744A" w14:textId="77777777">
        <w:trPr>
          <w:trHeight w:val="576"/>
          <w:jc w:val="center"/>
        </w:trPr>
        <w:tc>
          <w:tcPr>
            <w:tcW w:w="2021" w:type="pct"/>
            <w:vAlign w:val="center"/>
          </w:tcPr>
          <w:p w14:paraId="00E539A6"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扣除非经常性损益后归属于母公司股东的净利润（万元）</w:t>
            </w:r>
          </w:p>
        </w:tc>
        <w:tc>
          <w:tcPr>
            <w:tcW w:w="1130" w:type="pct"/>
            <w:vAlign w:val="center"/>
          </w:tcPr>
          <w:p w14:paraId="74E13752"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-17,600.00 </w:t>
            </w:r>
          </w:p>
        </w:tc>
        <w:tc>
          <w:tcPr>
            <w:tcW w:w="925" w:type="pct"/>
            <w:vAlign w:val="center"/>
          </w:tcPr>
          <w:p w14:paraId="7F143075" w14:textId="77777777" w:rsidR="00CE75D3" w:rsidRDefault="00000000">
            <w:pPr>
              <w:widowControl/>
              <w:spacing w:beforeLines="0" w:before="0" w:afterLines="0" w:after="0" w:line="240" w:lineRule="auto"/>
              <w:ind w:firstLineChars="0" w:firstLine="0"/>
              <w:contextualSpacing/>
              <w:jc w:val="right"/>
              <w:rPr>
                <w:rFonts w:cs="Times New Roman"/>
                <w:color w:val="000000"/>
                <w:kern w:val="0"/>
                <w:sz w:val="21"/>
                <w:szCs w:val="21"/>
              </w:rPr>
            </w:pPr>
            <w:r>
              <w:rPr>
                <w:rFonts w:cs="Times New Roman"/>
                <w:sz w:val="21"/>
                <w:szCs w:val="21"/>
              </w:rPr>
              <w:t xml:space="preserve">-26,400.00 </w:t>
            </w:r>
          </w:p>
        </w:tc>
        <w:tc>
          <w:tcPr>
            <w:tcW w:w="924" w:type="pct"/>
            <w:vAlign w:val="center"/>
          </w:tcPr>
          <w:p w14:paraId="449404FF" w14:textId="77777777" w:rsidR="00CE75D3" w:rsidRDefault="00000000">
            <w:pPr>
              <w:widowControl/>
              <w:spacing w:beforeLines="0" w:before="0" w:afterLines="0" w:after="0" w:line="240" w:lineRule="auto"/>
              <w:ind w:firstLineChars="0" w:firstLine="0"/>
              <w:contextualSpacing/>
              <w:jc w:val="right"/>
              <w:rPr>
                <w:rFonts w:cs="Times New Roman"/>
                <w:color w:val="000000"/>
                <w:kern w:val="0"/>
                <w:sz w:val="21"/>
                <w:szCs w:val="21"/>
              </w:rPr>
            </w:pPr>
            <w:r>
              <w:rPr>
                <w:rFonts w:cs="Times New Roman"/>
                <w:sz w:val="21"/>
                <w:szCs w:val="21"/>
              </w:rPr>
              <w:t xml:space="preserve">-26,400.00 </w:t>
            </w:r>
          </w:p>
        </w:tc>
      </w:tr>
      <w:tr w:rsidR="00CE75D3" w14:paraId="32AC5E91" w14:textId="77777777">
        <w:trPr>
          <w:trHeight w:val="480"/>
          <w:jc w:val="center"/>
        </w:trPr>
        <w:tc>
          <w:tcPr>
            <w:tcW w:w="2021" w:type="pct"/>
            <w:vAlign w:val="center"/>
          </w:tcPr>
          <w:p w14:paraId="29CA29EE"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扣除非经常性损益后基本每股收益（元</w:t>
            </w:r>
            <w:r>
              <w:rPr>
                <w:rFonts w:cs="Times New Roman"/>
                <w:bCs w:val="0"/>
                <w:color w:val="000000"/>
                <w:kern w:val="0"/>
                <w:sz w:val="22"/>
              </w:rPr>
              <w:t>/</w:t>
            </w:r>
            <w:r>
              <w:rPr>
                <w:rFonts w:cs="Times New Roman"/>
                <w:bCs w:val="0"/>
                <w:color w:val="000000"/>
                <w:kern w:val="0"/>
                <w:sz w:val="22"/>
              </w:rPr>
              <w:t>股）</w:t>
            </w:r>
          </w:p>
        </w:tc>
        <w:tc>
          <w:tcPr>
            <w:tcW w:w="1130" w:type="pct"/>
            <w:noWrap/>
            <w:vAlign w:val="center"/>
          </w:tcPr>
          <w:p w14:paraId="4BB74A6E"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-1.11 </w:t>
            </w:r>
          </w:p>
        </w:tc>
        <w:tc>
          <w:tcPr>
            <w:tcW w:w="925" w:type="pct"/>
            <w:noWrap/>
            <w:vAlign w:val="center"/>
          </w:tcPr>
          <w:p w14:paraId="51AF35ED"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-1.66 </w:t>
            </w:r>
          </w:p>
        </w:tc>
        <w:tc>
          <w:tcPr>
            <w:tcW w:w="924" w:type="pct"/>
            <w:noWrap/>
            <w:vAlign w:val="center"/>
          </w:tcPr>
          <w:p w14:paraId="49B4A861"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rPr>
            </w:pPr>
            <w:r>
              <w:rPr>
                <w:rFonts w:cs="Times New Roman"/>
                <w:sz w:val="21"/>
                <w:szCs w:val="21"/>
              </w:rPr>
              <w:t xml:space="preserve">-1.44 </w:t>
            </w:r>
          </w:p>
        </w:tc>
      </w:tr>
      <w:tr w:rsidR="00CE75D3" w14:paraId="06802126" w14:textId="77777777">
        <w:trPr>
          <w:trHeight w:val="576"/>
          <w:jc w:val="center"/>
        </w:trPr>
        <w:tc>
          <w:tcPr>
            <w:tcW w:w="2021" w:type="pct"/>
            <w:vAlign w:val="center"/>
          </w:tcPr>
          <w:p w14:paraId="19B4A58A"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lastRenderedPageBreak/>
              <w:t>扣除非经常性损益后稀释每股收益（元</w:t>
            </w:r>
            <w:r>
              <w:rPr>
                <w:rFonts w:cs="Times New Roman"/>
                <w:bCs w:val="0"/>
                <w:color w:val="000000"/>
                <w:kern w:val="0"/>
                <w:sz w:val="22"/>
              </w:rPr>
              <w:t>/</w:t>
            </w:r>
            <w:r>
              <w:rPr>
                <w:rFonts w:cs="Times New Roman"/>
                <w:bCs w:val="0"/>
                <w:color w:val="000000"/>
                <w:kern w:val="0"/>
                <w:sz w:val="22"/>
              </w:rPr>
              <w:t>股</w:t>
            </w:r>
            <w:r>
              <w:rPr>
                <w:rFonts w:cs="Times New Roman"/>
                <w:bCs w:val="0"/>
                <w:color w:val="000000"/>
                <w:kern w:val="0"/>
                <w:sz w:val="22"/>
              </w:rPr>
              <w:t>)</w:t>
            </w:r>
          </w:p>
        </w:tc>
        <w:tc>
          <w:tcPr>
            <w:tcW w:w="1130" w:type="pct"/>
            <w:noWrap/>
            <w:vAlign w:val="center"/>
          </w:tcPr>
          <w:p w14:paraId="423F4FD6"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-1.11 </w:t>
            </w:r>
          </w:p>
        </w:tc>
        <w:tc>
          <w:tcPr>
            <w:tcW w:w="925" w:type="pct"/>
            <w:noWrap/>
            <w:vAlign w:val="center"/>
          </w:tcPr>
          <w:p w14:paraId="11E6A122"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highlight w:val="yellow"/>
              </w:rPr>
            </w:pPr>
            <w:r>
              <w:rPr>
                <w:rFonts w:cs="Times New Roman"/>
                <w:sz w:val="21"/>
                <w:szCs w:val="21"/>
              </w:rPr>
              <w:t xml:space="preserve">-1.66 </w:t>
            </w:r>
          </w:p>
        </w:tc>
        <w:tc>
          <w:tcPr>
            <w:tcW w:w="924" w:type="pct"/>
            <w:noWrap/>
            <w:vAlign w:val="center"/>
          </w:tcPr>
          <w:p w14:paraId="57C04767"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rPr>
            </w:pPr>
            <w:r>
              <w:rPr>
                <w:rFonts w:cs="Times New Roman"/>
                <w:sz w:val="21"/>
                <w:szCs w:val="21"/>
              </w:rPr>
              <w:t xml:space="preserve">-1.44 </w:t>
            </w:r>
          </w:p>
        </w:tc>
      </w:tr>
      <w:tr w:rsidR="00CE75D3" w14:paraId="7DE653E2" w14:textId="77777777">
        <w:trPr>
          <w:trHeight w:val="480"/>
          <w:jc w:val="center"/>
        </w:trPr>
        <w:tc>
          <w:tcPr>
            <w:tcW w:w="5000" w:type="pct"/>
            <w:gridSpan w:val="4"/>
            <w:vAlign w:val="center"/>
          </w:tcPr>
          <w:p w14:paraId="7C846367" w14:textId="77777777" w:rsidR="00CE75D3" w:rsidRDefault="00000000">
            <w:pPr>
              <w:widowControl/>
              <w:spacing w:beforeLines="0" w:before="0" w:afterLines="0" w:after="0" w:line="240" w:lineRule="auto"/>
              <w:ind w:firstLineChars="0" w:firstLine="0"/>
              <w:contextualSpacing/>
              <w:rPr>
                <w:rFonts w:cs="Times New Roman"/>
                <w:b/>
                <w:color w:val="000000"/>
                <w:kern w:val="0"/>
                <w:sz w:val="21"/>
                <w:szCs w:val="21"/>
              </w:rPr>
            </w:pPr>
            <w:r>
              <w:rPr>
                <w:rFonts w:cs="Times New Roman"/>
                <w:b/>
                <w:color w:val="000000"/>
                <w:kern w:val="0"/>
                <w:sz w:val="22"/>
              </w:rPr>
              <w:t>情形</w:t>
            </w:r>
            <w:r>
              <w:rPr>
                <w:rFonts w:cs="Times New Roman"/>
                <w:b/>
                <w:color w:val="000000"/>
                <w:kern w:val="0"/>
                <w:sz w:val="22"/>
              </w:rPr>
              <w:t>2</w:t>
            </w:r>
            <w:r>
              <w:rPr>
                <w:rFonts w:cs="Times New Roman"/>
                <w:b/>
                <w:color w:val="000000"/>
                <w:kern w:val="0"/>
                <w:sz w:val="22"/>
              </w:rPr>
              <w:t>：</w:t>
            </w:r>
            <w:r>
              <w:rPr>
                <w:rFonts w:cs="Times New Roman"/>
                <w:b/>
                <w:color w:val="000000"/>
                <w:kern w:val="0"/>
                <w:sz w:val="22"/>
              </w:rPr>
              <w:t>2025</w:t>
            </w:r>
            <w:r>
              <w:rPr>
                <w:rFonts w:cs="Times New Roman"/>
                <w:b/>
                <w:color w:val="000000"/>
                <w:kern w:val="0"/>
                <w:sz w:val="22"/>
              </w:rPr>
              <w:t>年实现的归属于母公司股东的净利润和扣除非经常性损益后归属于母公司股东的净利润较</w:t>
            </w:r>
            <w:r>
              <w:rPr>
                <w:rFonts w:cs="Times New Roman"/>
                <w:b/>
                <w:color w:val="000000"/>
                <w:kern w:val="0"/>
                <w:sz w:val="22"/>
              </w:rPr>
              <w:t>2024</w:t>
            </w:r>
            <w:r>
              <w:rPr>
                <w:rFonts w:cs="Times New Roman"/>
                <w:b/>
                <w:color w:val="000000"/>
                <w:kern w:val="0"/>
                <w:sz w:val="22"/>
              </w:rPr>
              <w:t>年度持平</w:t>
            </w:r>
          </w:p>
        </w:tc>
      </w:tr>
      <w:tr w:rsidR="00CE75D3" w14:paraId="14278B2B" w14:textId="77777777">
        <w:trPr>
          <w:trHeight w:val="480"/>
          <w:jc w:val="center"/>
        </w:trPr>
        <w:tc>
          <w:tcPr>
            <w:tcW w:w="2021" w:type="pct"/>
            <w:vAlign w:val="center"/>
          </w:tcPr>
          <w:p w14:paraId="082D13D8"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归属于母公司股东的净利润（万元）</w:t>
            </w:r>
          </w:p>
        </w:tc>
        <w:tc>
          <w:tcPr>
            <w:tcW w:w="1130" w:type="pct"/>
            <w:noWrap/>
            <w:vAlign w:val="center"/>
          </w:tcPr>
          <w:p w14:paraId="445EF9FE"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-14,400.00 </w:t>
            </w:r>
          </w:p>
        </w:tc>
        <w:tc>
          <w:tcPr>
            <w:tcW w:w="925" w:type="pct"/>
            <w:noWrap/>
            <w:vAlign w:val="center"/>
          </w:tcPr>
          <w:p w14:paraId="0AA96BC7"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-14,400.00 </w:t>
            </w:r>
          </w:p>
        </w:tc>
        <w:tc>
          <w:tcPr>
            <w:tcW w:w="924" w:type="pct"/>
            <w:noWrap/>
            <w:vAlign w:val="center"/>
          </w:tcPr>
          <w:p w14:paraId="2098775A"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-14,400.00 </w:t>
            </w:r>
          </w:p>
        </w:tc>
      </w:tr>
      <w:tr w:rsidR="00CE75D3" w14:paraId="3F0815F0" w14:textId="77777777">
        <w:trPr>
          <w:trHeight w:val="576"/>
          <w:jc w:val="center"/>
        </w:trPr>
        <w:tc>
          <w:tcPr>
            <w:tcW w:w="2021" w:type="pct"/>
            <w:vAlign w:val="center"/>
          </w:tcPr>
          <w:p w14:paraId="4C12B16F"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基本每股收益（元</w:t>
            </w:r>
            <w:r>
              <w:rPr>
                <w:rFonts w:cs="Times New Roman"/>
                <w:bCs w:val="0"/>
                <w:color w:val="000000"/>
                <w:kern w:val="0"/>
                <w:sz w:val="22"/>
              </w:rPr>
              <w:t>/</w:t>
            </w:r>
            <w:r>
              <w:rPr>
                <w:rFonts w:cs="Times New Roman"/>
                <w:bCs w:val="0"/>
                <w:color w:val="000000"/>
                <w:kern w:val="0"/>
                <w:sz w:val="22"/>
              </w:rPr>
              <w:t>股）</w:t>
            </w:r>
          </w:p>
        </w:tc>
        <w:tc>
          <w:tcPr>
            <w:tcW w:w="1130" w:type="pct"/>
            <w:noWrap/>
            <w:vAlign w:val="center"/>
          </w:tcPr>
          <w:p w14:paraId="042DCDBD"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-0.90 </w:t>
            </w:r>
          </w:p>
        </w:tc>
        <w:tc>
          <w:tcPr>
            <w:tcW w:w="925" w:type="pct"/>
            <w:noWrap/>
            <w:vAlign w:val="center"/>
          </w:tcPr>
          <w:p w14:paraId="6C3A7A0A"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-0.90 </w:t>
            </w:r>
          </w:p>
        </w:tc>
        <w:tc>
          <w:tcPr>
            <w:tcW w:w="924" w:type="pct"/>
            <w:noWrap/>
            <w:vAlign w:val="center"/>
          </w:tcPr>
          <w:p w14:paraId="1A68BC2F"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-0.79 </w:t>
            </w:r>
          </w:p>
        </w:tc>
      </w:tr>
      <w:tr w:rsidR="00CE75D3" w14:paraId="151AFF52" w14:textId="77777777">
        <w:trPr>
          <w:trHeight w:val="576"/>
          <w:jc w:val="center"/>
        </w:trPr>
        <w:tc>
          <w:tcPr>
            <w:tcW w:w="2021" w:type="pct"/>
            <w:vAlign w:val="center"/>
          </w:tcPr>
          <w:p w14:paraId="343E813D"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稀释每股收益（元</w:t>
            </w:r>
            <w:r>
              <w:rPr>
                <w:rFonts w:cs="Times New Roman"/>
                <w:bCs w:val="0"/>
                <w:color w:val="000000"/>
                <w:kern w:val="0"/>
                <w:sz w:val="22"/>
              </w:rPr>
              <w:t>/</w:t>
            </w:r>
            <w:r>
              <w:rPr>
                <w:rFonts w:cs="Times New Roman"/>
                <w:bCs w:val="0"/>
                <w:color w:val="000000"/>
                <w:kern w:val="0"/>
                <w:sz w:val="22"/>
              </w:rPr>
              <w:t>股）</w:t>
            </w:r>
          </w:p>
        </w:tc>
        <w:tc>
          <w:tcPr>
            <w:tcW w:w="1130" w:type="pct"/>
            <w:vAlign w:val="center"/>
          </w:tcPr>
          <w:p w14:paraId="5CF0CDF6"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-0.90 </w:t>
            </w:r>
          </w:p>
        </w:tc>
        <w:tc>
          <w:tcPr>
            <w:tcW w:w="925" w:type="pct"/>
            <w:noWrap/>
            <w:vAlign w:val="center"/>
          </w:tcPr>
          <w:p w14:paraId="1D1A372D"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-0.90 </w:t>
            </w:r>
          </w:p>
        </w:tc>
        <w:tc>
          <w:tcPr>
            <w:tcW w:w="924" w:type="pct"/>
            <w:noWrap/>
            <w:vAlign w:val="center"/>
          </w:tcPr>
          <w:p w14:paraId="11C386E7"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highlight w:val="yellow"/>
              </w:rPr>
            </w:pPr>
            <w:r>
              <w:rPr>
                <w:rFonts w:cs="Times New Roman"/>
                <w:sz w:val="21"/>
                <w:szCs w:val="21"/>
              </w:rPr>
              <w:t xml:space="preserve">-0.79 </w:t>
            </w:r>
          </w:p>
        </w:tc>
      </w:tr>
      <w:tr w:rsidR="00CE75D3" w14:paraId="2E2B2E79" w14:textId="77777777">
        <w:trPr>
          <w:trHeight w:val="576"/>
          <w:jc w:val="center"/>
        </w:trPr>
        <w:tc>
          <w:tcPr>
            <w:tcW w:w="2021" w:type="pct"/>
            <w:vAlign w:val="center"/>
          </w:tcPr>
          <w:p w14:paraId="47C1B77E"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扣除非经常性损益后归属于母公司股东的净利润（万元）</w:t>
            </w:r>
          </w:p>
        </w:tc>
        <w:tc>
          <w:tcPr>
            <w:tcW w:w="1130" w:type="pct"/>
            <w:vAlign w:val="center"/>
          </w:tcPr>
          <w:p w14:paraId="6DA93A48"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-17,600.00 </w:t>
            </w:r>
          </w:p>
        </w:tc>
        <w:tc>
          <w:tcPr>
            <w:tcW w:w="925" w:type="pct"/>
            <w:vAlign w:val="center"/>
          </w:tcPr>
          <w:p w14:paraId="102DD060"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rPr>
            </w:pPr>
            <w:r>
              <w:rPr>
                <w:rFonts w:cs="Times New Roman"/>
                <w:sz w:val="21"/>
                <w:szCs w:val="21"/>
              </w:rPr>
              <w:t xml:space="preserve">-17,600.00 </w:t>
            </w:r>
          </w:p>
        </w:tc>
        <w:tc>
          <w:tcPr>
            <w:tcW w:w="924" w:type="pct"/>
            <w:vAlign w:val="center"/>
          </w:tcPr>
          <w:p w14:paraId="489F9BDC"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rPr>
            </w:pPr>
            <w:r>
              <w:rPr>
                <w:rFonts w:cs="Times New Roman"/>
                <w:sz w:val="21"/>
                <w:szCs w:val="21"/>
              </w:rPr>
              <w:t xml:space="preserve">-17,600.00 </w:t>
            </w:r>
          </w:p>
        </w:tc>
      </w:tr>
      <w:tr w:rsidR="00CE75D3" w14:paraId="4FFC687D" w14:textId="77777777">
        <w:trPr>
          <w:trHeight w:val="480"/>
          <w:jc w:val="center"/>
        </w:trPr>
        <w:tc>
          <w:tcPr>
            <w:tcW w:w="2021" w:type="pct"/>
            <w:vAlign w:val="center"/>
          </w:tcPr>
          <w:p w14:paraId="49A2B2D8"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扣除非经常性损益后基本每股收益（元</w:t>
            </w:r>
            <w:r>
              <w:rPr>
                <w:rFonts w:cs="Times New Roman"/>
                <w:bCs w:val="0"/>
                <w:color w:val="000000"/>
                <w:kern w:val="0"/>
                <w:sz w:val="22"/>
              </w:rPr>
              <w:t>/</w:t>
            </w:r>
            <w:r>
              <w:rPr>
                <w:rFonts w:cs="Times New Roman"/>
                <w:bCs w:val="0"/>
                <w:color w:val="000000"/>
                <w:kern w:val="0"/>
                <w:sz w:val="22"/>
              </w:rPr>
              <w:t>股）</w:t>
            </w:r>
          </w:p>
        </w:tc>
        <w:tc>
          <w:tcPr>
            <w:tcW w:w="1130" w:type="pct"/>
            <w:vAlign w:val="center"/>
          </w:tcPr>
          <w:p w14:paraId="01B3EEFA"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-1.11 </w:t>
            </w:r>
          </w:p>
        </w:tc>
        <w:tc>
          <w:tcPr>
            <w:tcW w:w="925" w:type="pct"/>
            <w:vAlign w:val="center"/>
          </w:tcPr>
          <w:p w14:paraId="6EE38C83"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-1.11 </w:t>
            </w:r>
          </w:p>
        </w:tc>
        <w:tc>
          <w:tcPr>
            <w:tcW w:w="924" w:type="pct"/>
            <w:vAlign w:val="center"/>
          </w:tcPr>
          <w:p w14:paraId="2A92776D"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rPr>
            </w:pPr>
            <w:r>
              <w:rPr>
                <w:rFonts w:cs="Times New Roman"/>
                <w:sz w:val="21"/>
                <w:szCs w:val="21"/>
              </w:rPr>
              <w:t xml:space="preserve">-0.96 </w:t>
            </w:r>
          </w:p>
        </w:tc>
      </w:tr>
      <w:tr w:rsidR="00CE75D3" w14:paraId="35F1F320" w14:textId="77777777">
        <w:trPr>
          <w:trHeight w:val="576"/>
          <w:jc w:val="center"/>
        </w:trPr>
        <w:tc>
          <w:tcPr>
            <w:tcW w:w="2021" w:type="pct"/>
            <w:vAlign w:val="center"/>
          </w:tcPr>
          <w:p w14:paraId="21415FB9"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扣除非经常性损益后稀释每股收益（元</w:t>
            </w:r>
            <w:r>
              <w:rPr>
                <w:rFonts w:cs="Times New Roman"/>
                <w:bCs w:val="0"/>
                <w:color w:val="000000"/>
                <w:kern w:val="0"/>
                <w:sz w:val="22"/>
              </w:rPr>
              <w:t>/</w:t>
            </w:r>
            <w:r>
              <w:rPr>
                <w:rFonts w:cs="Times New Roman"/>
                <w:bCs w:val="0"/>
                <w:color w:val="000000"/>
                <w:kern w:val="0"/>
                <w:sz w:val="22"/>
              </w:rPr>
              <w:t>股</w:t>
            </w:r>
            <w:r>
              <w:rPr>
                <w:rFonts w:cs="Times New Roman"/>
                <w:bCs w:val="0"/>
                <w:color w:val="000000"/>
                <w:kern w:val="0"/>
                <w:sz w:val="22"/>
              </w:rPr>
              <w:t>)</w:t>
            </w:r>
          </w:p>
        </w:tc>
        <w:tc>
          <w:tcPr>
            <w:tcW w:w="1130" w:type="pct"/>
            <w:vAlign w:val="center"/>
          </w:tcPr>
          <w:p w14:paraId="64020DA7"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-1.11 </w:t>
            </w:r>
          </w:p>
        </w:tc>
        <w:tc>
          <w:tcPr>
            <w:tcW w:w="925" w:type="pct"/>
            <w:vAlign w:val="center"/>
          </w:tcPr>
          <w:p w14:paraId="3DD2AA84"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highlight w:val="yellow"/>
              </w:rPr>
            </w:pPr>
            <w:r>
              <w:rPr>
                <w:rFonts w:cs="Times New Roman"/>
                <w:sz w:val="21"/>
                <w:szCs w:val="21"/>
              </w:rPr>
              <w:t xml:space="preserve">-1.11 </w:t>
            </w:r>
          </w:p>
        </w:tc>
        <w:tc>
          <w:tcPr>
            <w:tcW w:w="924" w:type="pct"/>
            <w:vAlign w:val="center"/>
          </w:tcPr>
          <w:p w14:paraId="55E4648A"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rPr>
            </w:pPr>
            <w:r>
              <w:rPr>
                <w:rFonts w:cs="Times New Roman"/>
                <w:sz w:val="21"/>
                <w:szCs w:val="21"/>
              </w:rPr>
              <w:t xml:space="preserve">-0.96 </w:t>
            </w:r>
          </w:p>
        </w:tc>
      </w:tr>
      <w:tr w:rsidR="00CE75D3" w14:paraId="56E5E897" w14:textId="77777777">
        <w:trPr>
          <w:trHeight w:val="480"/>
          <w:jc w:val="center"/>
        </w:trPr>
        <w:tc>
          <w:tcPr>
            <w:tcW w:w="5000" w:type="pct"/>
            <w:gridSpan w:val="4"/>
            <w:vAlign w:val="center"/>
          </w:tcPr>
          <w:p w14:paraId="1E08E92B" w14:textId="77777777" w:rsidR="00CE75D3" w:rsidRDefault="00000000">
            <w:pPr>
              <w:widowControl/>
              <w:spacing w:beforeLines="0" w:before="0" w:afterLines="0" w:after="0" w:line="240" w:lineRule="auto"/>
              <w:ind w:firstLineChars="0" w:firstLine="0"/>
              <w:contextualSpacing/>
              <w:rPr>
                <w:rFonts w:cs="Times New Roman"/>
                <w:b/>
                <w:color w:val="000000"/>
                <w:kern w:val="0"/>
                <w:sz w:val="21"/>
                <w:szCs w:val="21"/>
              </w:rPr>
            </w:pPr>
            <w:r>
              <w:rPr>
                <w:rFonts w:cs="Times New Roman"/>
                <w:b/>
                <w:color w:val="000000"/>
                <w:kern w:val="0"/>
                <w:sz w:val="22"/>
              </w:rPr>
              <w:t>情形</w:t>
            </w:r>
            <w:r>
              <w:rPr>
                <w:rFonts w:cs="Times New Roman"/>
                <w:b/>
                <w:color w:val="000000"/>
                <w:kern w:val="0"/>
                <w:sz w:val="22"/>
              </w:rPr>
              <w:t>3</w:t>
            </w:r>
            <w:r>
              <w:rPr>
                <w:rFonts w:cs="Times New Roman"/>
                <w:b/>
                <w:color w:val="000000"/>
                <w:kern w:val="0"/>
                <w:sz w:val="22"/>
              </w:rPr>
              <w:t>：</w:t>
            </w:r>
            <w:r>
              <w:rPr>
                <w:rFonts w:cs="Times New Roman"/>
                <w:b/>
                <w:color w:val="000000"/>
                <w:kern w:val="0"/>
                <w:sz w:val="22"/>
              </w:rPr>
              <w:t>2025</w:t>
            </w:r>
            <w:r>
              <w:rPr>
                <w:rFonts w:cs="Times New Roman"/>
                <w:b/>
                <w:color w:val="000000"/>
                <w:kern w:val="0"/>
                <w:sz w:val="22"/>
              </w:rPr>
              <w:t>年实现的归属于母公司股东的净利润和扣除非经常性损益后归属于母公司股东的净利润较</w:t>
            </w:r>
            <w:r>
              <w:rPr>
                <w:rFonts w:cs="Times New Roman"/>
                <w:b/>
                <w:color w:val="000000"/>
                <w:kern w:val="0"/>
                <w:sz w:val="22"/>
              </w:rPr>
              <w:t>2024</w:t>
            </w:r>
            <w:r>
              <w:rPr>
                <w:rFonts w:cs="Times New Roman"/>
                <w:b/>
                <w:color w:val="000000"/>
                <w:kern w:val="0"/>
                <w:sz w:val="22"/>
              </w:rPr>
              <w:t>年度减亏</w:t>
            </w:r>
            <w:r>
              <w:rPr>
                <w:rFonts w:cs="Times New Roman"/>
                <w:b/>
                <w:color w:val="000000"/>
                <w:kern w:val="0"/>
                <w:sz w:val="22"/>
              </w:rPr>
              <w:t>50%</w:t>
            </w:r>
          </w:p>
        </w:tc>
      </w:tr>
      <w:tr w:rsidR="00CE75D3" w14:paraId="6114C912" w14:textId="77777777">
        <w:trPr>
          <w:trHeight w:val="480"/>
          <w:jc w:val="center"/>
        </w:trPr>
        <w:tc>
          <w:tcPr>
            <w:tcW w:w="2021" w:type="pct"/>
            <w:vAlign w:val="center"/>
          </w:tcPr>
          <w:p w14:paraId="4D18DE1E"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归属于母公司股东的净利润（万元）</w:t>
            </w:r>
          </w:p>
        </w:tc>
        <w:tc>
          <w:tcPr>
            <w:tcW w:w="1130" w:type="pct"/>
            <w:noWrap/>
            <w:vAlign w:val="center"/>
          </w:tcPr>
          <w:p w14:paraId="4E0E0901"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-14,400.00 </w:t>
            </w:r>
          </w:p>
        </w:tc>
        <w:tc>
          <w:tcPr>
            <w:tcW w:w="925" w:type="pct"/>
            <w:noWrap/>
            <w:vAlign w:val="center"/>
          </w:tcPr>
          <w:p w14:paraId="0B7C389E"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-7,200.00 </w:t>
            </w:r>
          </w:p>
        </w:tc>
        <w:tc>
          <w:tcPr>
            <w:tcW w:w="924" w:type="pct"/>
            <w:noWrap/>
            <w:vAlign w:val="center"/>
          </w:tcPr>
          <w:p w14:paraId="3794C34A" w14:textId="77777777" w:rsidR="00CE75D3" w:rsidRDefault="00000000">
            <w:pPr>
              <w:widowControl/>
              <w:spacing w:beforeLines="0" w:before="0" w:afterLines="0" w:after="0" w:line="240" w:lineRule="auto"/>
              <w:ind w:firstLineChars="0" w:firstLine="0"/>
              <w:contextualSpacing/>
              <w:jc w:val="right"/>
              <w:rPr>
                <w:rFonts w:cs="Times New Roman"/>
                <w:color w:val="000000"/>
                <w:kern w:val="0"/>
                <w:sz w:val="21"/>
                <w:szCs w:val="21"/>
              </w:rPr>
            </w:pPr>
            <w:r>
              <w:rPr>
                <w:rFonts w:cs="Times New Roman"/>
                <w:sz w:val="21"/>
                <w:szCs w:val="21"/>
              </w:rPr>
              <w:t xml:space="preserve">-7,200.00 </w:t>
            </w:r>
          </w:p>
        </w:tc>
      </w:tr>
      <w:tr w:rsidR="00CE75D3" w14:paraId="3E79D5A2" w14:textId="77777777">
        <w:trPr>
          <w:trHeight w:val="576"/>
          <w:jc w:val="center"/>
        </w:trPr>
        <w:tc>
          <w:tcPr>
            <w:tcW w:w="2021" w:type="pct"/>
            <w:vAlign w:val="center"/>
          </w:tcPr>
          <w:p w14:paraId="7572938C"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基本每股收益（元</w:t>
            </w:r>
            <w:r>
              <w:rPr>
                <w:rFonts w:cs="Times New Roman"/>
                <w:bCs w:val="0"/>
                <w:color w:val="000000"/>
                <w:kern w:val="0"/>
                <w:sz w:val="22"/>
              </w:rPr>
              <w:t>/</w:t>
            </w:r>
            <w:r>
              <w:rPr>
                <w:rFonts w:cs="Times New Roman"/>
                <w:bCs w:val="0"/>
                <w:color w:val="000000"/>
                <w:kern w:val="0"/>
                <w:sz w:val="22"/>
              </w:rPr>
              <w:t>股）</w:t>
            </w:r>
          </w:p>
        </w:tc>
        <w:tc>
          <w:tcPr>
            <w:tcW w:w="1130" w:type="pct"/>
            <w:noWrap/>
            <w:vAlign w:val="center"/>
          </w:tcPr>
          <w:p w14:paraId="47936429"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-0.90 </w:t>
            </w:r>
          </w:p>
        </w:tc>
        <w:tc>
          <w:tcPr>
            <w:tcW w:w="925" w:type="pct"/>
            <w:noWrap/>
            <w:vAlign w:val="center"/>
          </w:tcPr>
          <w:p w14:paraId="7C764DEF"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-0.45 </w:t>
            </w:r>
          </w:p>
        </w:tc>
        <w:tc>
          <w:tcPr>
            <w:tcW w:w="924" w:type="pct"/>
            <w:noWrap/>
            <w:vAlign w:val="center"/>
          </w:tcPr>
          <w:p w14:paraId="6198D03E"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-0.39 </w:t>
            </w:r>
          </w:p>
        </w:tc>
      </w:tr>
      <w:tr w:rsidR="00CE75D3" w14:paraId="5A0E4590" w14:textId="77777777">
        <w:trPr>
          <w:trHeight w:val="576"/>
          <w:jc w:val="center"/>
        </w:trPr>
        <w:tc>
          <w:tcPr>
            <w:tcW w:w="2021" w:type="pct"/>
            <w:vAlign w:val="center"/>
          </w:tcPr>
          <w:p w14:paraId="63056C09"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稀释每股收益（元</w:t>
            </w:r>
            <w:r>
              <w:rPr>
                <w:rFonts w:cs="Times New Roman"/>
                <w:bCs w:val="0"/>
                <w:color w:val="000000"/>
                <w:kern w:val="0"/>
                <w:sz w:val="22"/>
              </w:rPr>
              <w:t>/</w:t>
            </w:r>
            <w:r>
              <w:rPr>
                <w:rFonts w:cs="Times New Roman"/>
                <w:bCs w:val="0"/>
                <w:color w:val="000000"/>
                <w:kern w:val="0"/>
                <w:sz w:val="22"/>
              </w:rPr>
              <w:t>股）</w:t>
            </w:r>
          </w:p>
        </w:tc>
        <w:tc>
          <w:tcPr>
            <w:tcW w:w="1130" w:type="pct"/>
            <w:vAlign w:val="center"/>
          </w:tcPr>
          <w:p w14:paraId="620E7A59"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-0.90 </w:t>
            </w:r>
          </w:p>
        </w:tc>
        <w:tc>
          <w:tcPr>
            <w:tcW w:w="925" w:type="pct"/>
            <w:shd w:val="clear" w:color="auto" w:fill="auto"/>
            <w:noWrap/>
            <w:vAlign w:val="center"/>
          </w:tcPr>
          <w:p w14:paraId="60788371"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-0.45 </w:t>
            </w:r>
          </w:p>
        </w:tc>
        <w:tc>
          <w:tcPr>
            <w:tcW w:w="924" w:type="pct"/>
            <w:shd w:val="clear" w:color="auto" w:fill="auto"/>
            <w:noWrap/>
            <w:vAlign w:val="center"/>
          </w:tcPr>
          <w:p w14:paraId="0A578176"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rPr>
            </w:pPr>
            <w:r>
              <w:rPr>
                <w:rFonts w:cs="Times New Roman"/>
                <w:sz w:val="21"/>
                <w:szCs w:val="21"/>
              </w:rPr>
              <w:t xml:space="preserve">-0.39 </w:t>
            </w:r>
          </w:p>
        </w:tc>
      </w:tr>
      <w:tr w:rsidR="00CE75D3" w14:paraId="1208EAB6" w14:textId="77777777">
        <w:trPr>
          <w:trHeight w:val="576"/>
          <w:jc w:val="center"/>
        </w:trPr>
        <w:tc>
          <w:tcPr>
            <w:tcW w:w="2021" w:type="pct"/>
            <w:vAlign w:val="center"/>
          </w:tcPr>
          <w:p w14:paraId="708F79E7"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扣除非经常性损益后归属于母公司股东的净利润（万元）</w:t>
            </w:r>
          </w:p>
        </w:tc>
        <w:tc>
          <w:tcPr>
            <w:tcW w:w="1130" w:type="pct"/>
            <w:vAlign w:val="center"/>
          </w:tcPr>
          <w:p w14:paraId="4B4495E4"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-17,600.00 </w:t>
            </w:r>
          </w:p>
        </w:tc>
        <w:tc>
          <w:tcPr>
            <w:tcW w:w="925" w:type="pct"/>
            <w:shd w:val="clear" w:color="auto" w:fill="auto"/>
            <w:vAlign w:val="center"/>
          </w:tcPr>
          <w:p w14:paraId="21373927"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highlight w:val="yellow"/>
              </w:rPr>
            </w:pPr>
            <w:r>
              <w:rPr>
                <w:rFonts w:cs="Times New Roman"/>
                <w:sz w:val="21"/>
                <w:szCs w:val="21"/>
              </w:rPr>
              <w:t xml:space="preserve">-8,800.00 </w:t>
            </w:r>
          </w:p>
        </w:tc>
        <w:tc>
          <w:tcPr>
            <w:tcW w:w="924" w:type="pct"/>
            <w:shd w:val="clear" w:color="auto" w:fill="auto"/>
            <w:vAlign w:val="center"/>
          </w:tcPr>
          <w:p w14:paraId="5E98412B"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rPr>
            </w:pPr>
            <w:r>
              <w:rPr>
                <w:rFonts w:cs="Times New Roman"/>
                <w:sz w:val="21"/>
                <w:szCs w:val="21"/>
              </w:rPr>
              <w:t xml:space="preserve">-8,800.00 </w:t>
            </w:r>
          </w:p>
        </w:tc>
      </w:tr>
      <w:tr w:rsidR="00CE75D3" w14:paraId="7AC81354" w14:textId="77777777">
        <w:trPr>
          <w:trHeight w:val="480"/>
          <w:jc w:val="center"/>
        </w:trPr>
        <w:tc>
          <w:tcPr>
            <w:tcW w:w="2021" w:type="pct"/>
            <w:vAlign w:val="center"/>
          </w:tcPr>
          <w:p w14:paraId="7B2104A8"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扣除非经常性损益后基本每股收益（元</w:t>
            </w:r>
            <w:r>
              <w:rPr>
                <w:rFonts w:cs="Times New Roman"/>
                <w:bCs w:val="0"/>
                <w:color w:val="000000"/>
                <w:kern w:val="0"/>
                <w:sz w:val="22"/>
              </w:rPr>
              <w:t>/</w:t>
            </w:r>
            <w:r>
              <w:rPr>
                <w:rFonts w:cs="Times New Roman"/>
                <w:bCs w:val="0"/>
                <w:color w:val="000000"/>
                <w:kern w:val="0"/>
                <w:sz w:val="22"/>
              </w:rPr>
              <w:t>股）</w:t>
            </w:r>
          </w:p>
        </w:tc>
        <w:tc>
          <w:tcPr>
            <w:tcW w:w="1130" w:type="pct"/>
            <w:vAlign w:val="center"/>
          </w:tcPr>
          <w:p w14:paraId="3CBC983E"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-1.11 </w:t>
            </w:r>
          </w:p>
        </w:tc>
        <w:tc>
          <w:tcPr>
            <w:tcW w:w="925" w:type="pct"/>
            <w:vAlign w:val="center"/>
          </w:tcPr>
          <w:p w14:paraId="2A295C10"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-0.55 </w:t>
            </w:r>
          </w:p>
        </w:tc>
        <w:tc>
          <w:tcPr>
            <w:tcW w:w="924" w:type="pct"/>
            <w:vAlign w:val="center"/>
          </w:tcPr>
          <w:p w14:paraId="0FBDADFA"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rPr>
            </w:pPr>
            <w:r>
              <w:rPr>
                <w:rFonts w:cs="Times New Roman"/>
                <w:sz w:val="21"/>
                <w:szCs w:val="21"/>
              </w:rPr>
              <w:t xml:space="preserve">-0.48 </w:t>
            </w:r>
          </w:p>
        </w:tc>
      </w:tr>
      <w:tr w:rsidR="00CE75D3" w14:paraId="7A16C057" w14:textId="77777777">
        <w:trPr>
          <w:trHeight w:val="576"/>
          <w:jc w:val="center"/>
        </w:trPr>
        <w:tc>
          <w:tcPr>
            <w:tcW w:w="2021" w:type="pct"/>
            <w:vAlign w:val="center"/>
          </w:tcPr>
          <w:p w14:paraId="689A709A" w14:textId="77777777" w:rsidR="00CE75D3" w:rsidRDefault="00000000">
            <w:pPr>
              <w:widowControl/>
              <w:spacing w:beforeLines="0" w:before="0" w:afterLines="0" w:after="0" w:line="240" w:lineRule="auto"/>
              <w:ind w:firstLineChars="0" w:firstLine="0"/>
              <w:contextualSpacing/>
              <w:jc w:val="left"/>
              <w:rPr>
                <w:rFonts w:cs="Times New Roman"/>
                <w:bCs w:val="0"/>
                <w:color w:val="000000"/>
                <w:kern w:val="0"/>
                <w:sz w:val="22"/>
              </w:rPr>
            </w:pPr>
            <w:r>
              <w:rPr>
                <w:rFonts w:cs="Times New Roman"/>
                <w:bCs w:val="0"/>
                <w:color w:val="000000"/>
                <w:kern w:val="0"/>
                <w:sz w:val="22"/>
              </w:rPr>
              <w:t>扣除非经常性损益后稀释每股收益（元</w:t>
            </w:r>
            <w:r>
              <w:rPr>
                <w:rFonts w:cs="Times New Roman"/>
                <w:bCs w:val="0"/>
                <w:color w:val="000000"/>
                <w:kern w:val="0"/>
                <w:sz w:val="22"/>
              </w:rPr>
              <w:t>/</w:t>
            </w:r>
            <w:r>
              <w:rPr>
                <w:rFonts w:cs="Times New Roman"/>
                <w:bCs w:val="0"/>
                <w:color w:val="000000"/>
                <w:kern w:val="0"/>
                <w:sz w:val="22"/>
              </w:rPr>
              <w:t>股</w:t>
            </w:r>
            <w:r>
              <w:rPr>
                <w:rFonts w:cs="Times New Roman"/>
                <w:bCs w:val="0"/>
                <w:color w:val="000000"/>
                <w:kern w:val="0"/>
                <w:sz w:val="22"/>
              </w:rPr>
              <w:t>)</w:t>
            </w:r>
          </w:p>
        </w:tc>
        <w:tc>
          <w:tcPr>
            <w:tcW w:w="1130" w:type="pct"/>
            <w:vAlign w:val="center"/>
          </w:tcPr>
          <w:p w14:paraId="07DEC427" w14:textId="77777777" w:rsidR="00CE75D3" w:rsidRDefault="00000000">
            <w:pPr>
              <w:widowControl/>
              <w:spacing w:beforeLines="0" w:before="0" w:afterLines="0" w:after="0" w:line="240" w:lineRule="auto"/>
              <w:ind w:firstLineChars="0" w:firstLine="0"/>
              <w:contextualSpacing/>
              <w:jc w:val="right"/>
              <w:rPr>
                <w:rFonts w:cs="Times New Roman"/>
                <w:bCs w:val="0"/>
                <w:color w:val="000000"/>
                <w:kern w:val="0"/>
                <w:sz w:val="21"/>
                <w:szCs w:val="21"/>
              </w:rPr>
            </w:pPr>
            <w:r>
              <w:rPr>
                <w:rFonts w:cs="Times New Roman"/>
                <w:sz w:val="21"/>
                <w:szCs w:val="21"/>
              </w:rPr>
              <w:t xml:space="preserve">-1.11 </w:t>
            </w:r>
          </w:p>
        </w:tc>
        <w:tc>
          <w:tcPr>
            <w:tcW w:w="925" w:type="pct"/>
            <w:vAlign w:val="center"/>
          </w:tcPr>
          <w:p w14:paraId="0817B77B"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rPr>
            </w:pPr>
            <w:r>
              <w:rPr>
                <w:rFonts w:cs="Times New Roman"/>
                <w:sz w:val="21"/>
                <w:szCs w:val="21"/>
              </w:rPr>
              <w:t xml:space="preserve">-0.55 </w:t>
            </w:r>
          </w:p>
        </w:tc>
        <w:tc>
          <w:tcPr>
            <w:tcW w:w="924" w:type="pct"/>
            <w:vAlign w:val="center"/>
          </w:tcPr>
          <w:p w14:paraId="10E69CB7" w14:textId="77777777" w:rsidR="00CE75D3" w:rsidRDefault="00000000">
            <w:pPr>
              <w:widowControl/>
              <w:spacing w:beforeLines="0" w:before="0" w:afterLines="0" w:after="0" w:line="240" w:lineRule="auto"/>
              <w:ind w:firstLineChars="0" w:firstLine="0"/>
              <w:contextualSpacing/>
              <w:jc w:val="right"/>
              <w:rPr>
                <w:rFonts w:cs="Times New Roman"/>
                <w:b/>
                <w:bCs w:val="0"/>
                <w:color w:val="000000"/>
                <w:kern w:val="0"/>
                <w:sz w:val="21"/>
                <w:szCs w:val="21"/>
              </w:rPr>
            </w:pPr>
            <w:r>
              <w:rPr>
                <w:rFonts w:cs="Times New Roman"/>
                <w:sz w:val="21"/>
                <w:szCs w:val="21"/>
              </w:rPr>
              <w:t xml:space="preserve">-0.48 </w:t>
            </w:r>
          </w:p>
        </w:tc>
      </w:tr>
    </w:tbl>
    <w:p w14:paraId="55DDBBB8" w14:textId="77777777" w:rsidR="00CE75D3" w:rsidRDefault="00000000">
      <w:pPr>
        <w:keepNext/>
        <w:keepLines/>
        <w:widowControl/>
        <w:adjustRightInd/>
        <w:snapToGrid/>
        <w:spacing w:before="156" w:after="156"/>
        <w:ind w:firstLineChars="0" w:firstLine="0"/>
        <w:outlineLvl w:val="1"/>
        <w:rPr>
          <w:rFonts w:eastAsia="黑体" w:cs="Times New Roman"/>
          <w:b/>
          <w:sz w:val="28"/>
          <w:szCs w:val="28"/>
        </w:rPr>
      </w:pPr>
      <w:r>
        <w:rPr>
          <w:rFonts w:eastAsia="黑体" w:cs="Times New Roman"/>
          <w:b/>
          <w:sz w:val="28"/>
          <w:szCs w:val="28"/>
        </w:rPr>
        <w:t>二、本次发行摊薄即期回报的风险提示</w:t>
      </w:r>
    </w:p>
    <w:p w14:paraId="36777443" w14:textId="77777777" w:rsidR="00CE75D3" w:rsidRDefault="00000000">
      <w:pPr>
        <w:adjustRightInd/>
        <w:snapToGrid/>
        <w:spacing w:before="156" w:afterLines="0" w:after="0"/>
        <w:ind w:firstLine="480"/>
        <w:rPr>
          <w:rFonts w:cs="Times New Roman"/>
          <w:bCs w:val="0"/>
        </w:rPr>
      </w:pPr>
      <w:r>
        <w:rPr>
          <w:rFonts w:cs="Times New Roman"/>
          <w:bCs w:val="0"/>
        </w:rPr>
        <w:t>本次向特定对象发行募集资金到位后，公司的总股本和净资产将会相应增加，有利于提高公司的流动性，增强公司的抗风险能力和更好地实现战略发展目标。本次募集资金到位后的短期内，公司净利润增长幅度可能会低于净资产和总股本的增长幅度，基本每股收益可能出现一定幅度的下降，股东即期回报存在被摊薄的风险。</w:t>
      </w:r>
    </w:p>
    <w:p w14:paraId="1FB3EFD4" w14:textId="77777777" w:rsidR="00CE75D3" w:rsidRDefault="00000000">
      <w:pPr>
        <w:adjustRightInd/>
        <w:snapToGrid/>
        <w:spacing w:before="156" w:afterLines="0" w:after="0"/>
        <w:ind w:firstLine="480"/>
        <w:rPr>
          <w:rFonts w:cs="Times New Roman"/>
          <w:bCs w:val="0"/>
        </w:rPr>
      </w:pPr>
      <w:r>
        <w:rPr>
          <w:rFonts w:cs="Times New Roman"/>
          <w:bCs w:val="0"/>
        </w:rPr>
        <w:t>在测算本次发行对即期回报的摊薄影响过程中，公司对</w:t>
      </w:r>
      <w:r>
        <w:rPr>
          <w:rFonts w:cs="Times New Roman"/>
          <w:bCs w:val="0"/>
        </w:rPr>
        <w:t>2025</w:t>
      </w:r>
      <w:r>
        <w:rPr>
          <w:rFonts w:cs="Times New Roman"/>
          <w:bCs w:val="0"/>
        </w:rPr>
        <w:t>年度实现的扣除非经常性损益前、后归属于母公司股东的净利润的假设分析并非公司的盈利预测，为应对即</w:t>
      </w:r>
      <w:r>
        <w:rPr>
          <w:rFonts w:cs="Times New Roman"/>
          <w:bCs w:val="0"/>
        </w:rPr>
        <w:lastRenderedPageBreak/>
        <w:t>期回报被摊薄风险而制定的填补回报具体措施不等于对公司未来利润做出保证，投资者不应据此进行投资决策，投资者据此进行投资决策造成损失的，公司不承担赔偿责任。提请广大投资者注意。</w:t>
      </w:r>
    </w:p>
    <w:p w14:paraId="5504686A" w14:textId="77777777" w:rsidR="00CE75D3" w:rsidRDefault="00000000">
      <w:pPr>
        <w:keepNext/>
        <w:keepLines/>
        <w:widowControl/>
        <w:adjustRightInd/>
        <w:snapToGrid/>
        <w:spacing w:before="156" w:after="156"/>
        <w:ind w:firstLineChars="0" w:firstLine="0"/>
        <w:outlineLvl w:val="1"/>
        <w:rPr>
          <w:rFonts w:eastAsia="黑体" w:cs="Times New Roman"/>
          <w:b/>
          <w:sz w:val="28"/>
          <w:szCs w:val="28"/>
        </w:rPr>
      </w:pPr>
      <w:r>
        <w:rPr>
          <w:rFonts w:eastAsia="黑体" w:cs="Times New Roman"/>
          <w:b/>
          <w:sz w:val="28"/>
          <w:szCs w:val="28"/>
        </w:rPr>
        <w:t>三、本次发行的必要性和合理性</w:t>
      </w:r>
    </w:p>
    <w:p w14:paraId="25268087" w14:textId="77777777" w:rsidR="00CE75D3" w:rsidRDefault="00000000">
      <w:pPr>
        <w:adjustRightInd/>
        <w:snapToGrid/>
        <w:spacing w:before="156" w:afterLines="0" w:after="0"/>
        <w:ind w:firstLine="480"/>
        <w:rPr>
          <w:rFonts w:cs="Times New Roman"/>
          <w:bCs w:val="0"/>
        </w:rPr>
      </w:pPr>
      <w:r>
        <w:rPr>
          <w:rFonts w:cs="Times New Roman"/>
          <w:bCs w:val="0"/>
        </w:rPr>
        <w:t>本次向特定对象发行</w:t>
      </w:r>
      <w:r>
        <w:rPr>
          <w:rFonts w:cs="Times New Roman"/>
          <w:bCs w:val="0"/>
        </w:rPr>
        <w:t>A</w:t>
      </w:r>
      <w:r>
        <w:rPr>
          <w:rFonts w:cs="Times New Roman"/>
          <w:bCs w:val="0"/>
        </w:rPr>
        <w:t>股股票募集资金使用计划符合相关政策和法律法规，符合公司未来发展战略规划，具备必要性和可行性。本次发行的必要性和合理性的具体分析详见《</w:t>
      </w:r>
      <w:r>
        <w:rPr>
          <w:rFonts w:cs="Times New Roman"/>
          <w:bCs w:val="0"/>
        </w:rPr>
        <w:t>2025</w:t>
      </w:r>
      <w:r>
        <w:rPr>
          <w:rFonts w:cs="Times New Roman"/>
          <w:bCs w:val="0"/>
        </w:rPr>
        <w:t>年度向特定对象发行</w:t>
      </w:r>
      <w:r>
        <w:rPr>
          <w:rFonts w:cs="Times New Roman"/>
          <w:bCs w:val="0"/>
        </w:rPr>
        <w:t>A</w:t>
      </w:r>
      <w:r>
        <w:rPr>
          <w:rFonts w:cs="Times New Roman"/>
          <w:bCs w:val="0"/>
        </w:rPr>
        <w:t>股股票募集资金使用可行性分析报告》。</w:t>
      </w:r>
    </w:p>
    <w:p w14:paraId="511D8299" w14:textId="77777777" w:rsidR="00CE75D3" w:rsidRDefault="00000000">
      <w:pPr>
        <w:keepNext/>
        <w:keepLines/>
        <w:widowControl/>
        <w:adjustRightInd/>
        <w:snapToGrid/>
        <w:spacing w:before="156" w:after="156"/>
        <w:ind w:firstLineChars="0" w:firstLine="0"/>
        <w:outlineLvl w:val="1"/>
        <w:rPr>
          <w:rFonts w:eastAsia="黑体" w:cs="Times New Roman"/>
          <w:b/>
          <w:sz w:val="28"/>
          <w:szCs w:val="28"/>
        </w:rPr>
      </w:pPr>
      <w:r>
        <w:rPr>
          <w:rFonts w:eastAsia="黑体" w:cs="Times New Roman"/>
          <w:b/>
          <w:sz w:val="28"/>
          <w:szCs w:val="28"/>
        </w:rPr>
        <w:t>四、本次募集资金投资项目与公司现有业务的关系，公司从事募投项目在人员、技术、市场等方面的储备情况</w:t>
      </w:r>
    </w:p>
    <w:p w14:paraId="74281353" w14:textId="77777777" w:rsidR="00CE75D3" w:rsidRDefault="00000000">
      <w:pPr>
        <w:keepNext/>
        <w:keepLines/>
        <w:widowControl/>
        <w:adjustRightInd/>
        <w:snapToGrid/>
        <w:spacing w:before="156" w:after="156"/>
        <w:ind w:firstLine="482"/>
        <w:outlineLvl w:val="2"/>
        <w:rPr>
          <w:rFonts w:eastAsia="黑体" w:cs="Times New Roman"/>
          <w:b/>
          <w:szCs w:val="28"/>
        </w:rPr>
      </w:pPr>
      <w:r>
        <w:rPr>
          <w:rFonts w:eastAsia="黑体" w:cs="Times New Roman"/>
          <w:b/>
          <w:szCs w:val="28"/>
        </w:rPr>
        <w:t>（一）募集资金投资项目与公司现有业务的关系</w:t>
      </w:r>
    </w:p>
    <w:p w14:paraId="407A5EFF" w14:textId="77777777" w:rsidR="00CE75D3" w:rsidRDefault="00000000">
      <w:pPr>
        <w:adjustRightInd/>
        <w:snapToGrid/>
        <w:spacing w:before="156" w:after="156"/>
        <w:ind w:firstLine="480"/>
        <w:rPr>
          <w:rFonts w:cs="Times New Roman"/>
          <w:bCs w:val="0"/>
        </w:rPr>
      </w:pPr>
      <w:bookmarkStart w:id="0" w:name="_Hlk194322230"/>
      <w:bookmarkStart w:id="1" w:name="_Hlk128148544"/>
      <w:r>
        <w:rPr>
          <w:rFonts w:cs="Times New Roman" w:hint="eastAsia"/>
          <w:bCs w:val="0"/>
        </w:rPr>
        <w:t>本次募集资金投向“创新药研发项目”、“中药传统名方产业化项目”和“补充流动资金项目”，均系围绕公司由仿制药向创新药和大健康大消费产业的战略转型开展。</w:t>
      </w:r>
      <w:bookmarkEnd w:id="0"/>
    </w:p>
    <w:p w14:paraId="319B429E" w14:textId="77777777" w:rsidR="00CE75D3" w:rsidRDefault="00000000">
      <w:pPr>
        <w:adjustRightInd/>
        <w:snapToGrid/>
        <w:spacing w:before="156" w:after="156"/>
        <w:ind w:firstLine="480"/>
        <w:rPr>
          <w:rFonts w:cs="Times New Roman"/>
          <w:bCs w:val="0"/>
          <w:szCs w:val="24"/>
        </w:rPr>
      </w:pPr>
      <w:bookmarkStart w:id="2" w:name="_Hlk193462771"/>
      <w:r>
        <w:rPr>
          <w:rFonts w:cs="Times New Roman" w:hint="eastAsia"/>
          <w:bCs w:val="0"/>
          <w:szCs w:val="24"/>
        </w:rPr>
        <w:t>创新药研发项目，包括乙肝创新药</w:t>
      </w:r>
      <w:r>
        <w:rPr>
          <w:rFonts w:cs="Times New Roman" w:hint="eastAsia"/>
          <w:bCs w:val="0"/>
          <w:szCs w:val="24"/>
        </w:rPr>
        <w:t>GST-HG141</w:t>
      </w:r>
      <w:r>
        <w:rPr>
          <w:rFonts w:cs="Times New Roman" w:hint="eastAsia"/>
          <w:bCs w:val="0"/>
          <w:szCs w:val="24"/>
        </w:rPr>
        <w:t>、</w:t>
      </w:r>
      <w:r>
        <w:rPr>
          <w:rFonts w:cs="Times New Roman" w:hint="eastAsia"/>
          <w:bCs w:val="0"/>
          <w:szCs w:val="24"/>
        </w:rPr>
        <w:t>GST-HG131</w:t>
      </w:r>
      <w:r>
        <w:rPr>
          <w:rFonts w:cs="Times New Roman" w:hint="eastAsia"/>
          <w:bCs w:val="0"/>
          <w:szCs w:val="24"/>
        </w:rPr>
        <w:t>联合</w:t>
      </w:r>
      <w:r>
        <w:rPr>
          <w:rFonts w:cs="Times New Roman" w:hint="eastAsia"/>
          <w:bCs w:val="0"/>
          <w:szCs w:val="24"/>
        </w:rPr>
        <w:t>GST-HG141</w:t>
      </w:r>
      <w:r>
        <w:rPr>
          <w:rFonts w:cs="Times New Roman" w:hint="eastAsia"/>
          <w:bCs w:val="0"/>
          <w:szCs w:val="24"/>
        </w:rPr>
        <w:t>项目。截至目前，</w:t>
      </w:r>
      <w:r>
        <w:rPr>
          <w:rFonts w:cs="Times New Roman" w:hint="eastAsia"/>
          <w:bCs w:val="0"/>
          <w:szCs w:val="24"/>
        </w:rPr>
        <w:t>GST-HG141</w:t>
      </w:r>
      <w:r>
        <w:rPr>
          <w:rFonts w:cs="Times New Roman" w:hint="eastAsia"/>
          <w:bCs w:val="0"/>
          <w:szCs w:val="24"/>
        </w:rPr>
        <w:t>创新药项目已完成</w:t>
      </w:r>
      <w:r>
        <w:rPr>
          <w:rFonts w:cs="Times New Roman" w:hint="eastAsia"/>
          <w:bCs w:val="0"/>
          <w:szCs w:val="24"/>
        </w:rPr>
        <w:t>II</w:t>
      </w:r>
      <w:r>
        <w:rPr>
          <w:rFonts w:cs="Times New Roman" w:hint="eastAsia"/>
          <w:bCs w:val="0"/>
          <w:szCs w:val="24"/>
        </w:rPr>
        <w:t>期临床总结报告，</w:t>
      </w:r>
      <w:r>
        <w:rPr>
          <w:rFonts w:cs="Times New Roman" w:hint="eastAsia"/>
          <w:bCs w:val="0"/>
          <w:szCs w:val="24"/>
        </w:rPr>
        <w:t>III</w:t>
      </w:r>
      <w:r>
        <w:rPr>
          <w:rFonts w:cs="Times New Roman" w:hint="eastAsia"/>
          <w:bCs w:val="0"/>
          <w:szCs w:val="24"/>
        </w:rPr>
        <w:t>期临床方案已取得</w:t>
      </w:r>
      <w:r>
        <w:rPr>
          <w:rFonts w:cs="Times New Roman" w:hint="eastAsia"/>
          <w:bCs w:val="0"/>
          <w:szCs w:val="24"/>
        </w:rPr>
        <w:t>CDE</w:t>
      </w:r>
      <w:r>
        <w:rPr>
          <w:rFonts w:cs="Times New Roman" w:hint="eastAsia"/>
          <w:bCs w:val="0"/>
          <w:szCs w:val="24"/>
        </w:rPr>
        <w:t>沟通会议纪要；</w:t>
      </w:r>
      <w:r>
        <w:rPr>
          <w:rFonts w:cs="Times New Roman" w:hint="eastAsia"/>
          <w:bCs w:val="0"/>
          <w:szCs w:val="24"/>
        </w:rPr>
        <w:t>GST-HG131</w:t>
      </w:r>
      <w:r>
        <w:rPr>
          <w:rFonts w:cs="Times New Roman" w:hint="eastAsia"/>
          <w:bCs w:val="0"/>
          <w:szCs w:val="24"/>
        </w:rPr>
        <w:t>联合</w:t>
      </w:r>
      <w:r>
        <w:rPr>
          <w:rFonts w:cs="Times New Roman" w:hint="eastAsia"/>
          <w:bCs w:val="0"/>
          <w:szCs w:val="24"/>
        </w:rPr>
        <w:t>GST-HG141</w:t>
      </w:r>
      <w:r>
        <w:rPr>
          <w:rFonts w:cs="Times New Roman" w:hint="eastAsia"/>
          <w:bCs w:val="0"/>
          <w:szCs w:val="24"/>
        </w:rPr>
        <w:t>创新药项目已向</w:t>
      </w:r>
      <w:r>
        <w:rPr>
          <w:rFonts w:cs="Times New Roman" w:hint="eastAsia"/>
          <w:bCs w:val="0"/>
          <w:szCs w:val="24"/>
        </w:rPr>
        <w:t>CDE</w:t>
      </w:r>
      <w:r>
        <w:rPr>
          <w:rFonts w:cs="Times New Roman" w:hint="eastAsia"/>
          <w:bCs w:val="0"/>
          <w:szCs w:val="24"/>
        </w:rPr>
        <w:t>递交</w:t>
      </w:r>
      <w:r>
        <w:rPr>
          <w:rFonts w:cs="Times New Roman" w:hint="eastAsia"/>
          <w:bCs w:val="0"/>
          <w:szCs w:val="24"/>
        </w:rPr>
        <w:t>II</w:t>
      </w:r>
      <w:r>
        <w:rPr>
          <w:rFonts w:cs="Times New Roman" w:hint="eastAsia"/>
          <w:bCs w:val="0"/>
          <w:szCs w:val="24"/>
        </w:rPr>
        <w:t>期临床试验申请。上述研发项目系基于公司在乙肝治疗及抗病毒领域多年的技术及经验积累，是对公司现有抗乙肝仿制药管线的创新和升级，符合公司的业务发展方向和战略布局，不属于新业务。</w:t>
      </w:r>
    </w:p>
    <w:p w14:paraId="2C57630B" w14:textId="40FE66DE" w:rsidR="00CE75D3" w:rsidRDefault="00000000">
      <w:pPr>
        <w:adjustRightInd/>
        <w:snapToGrid/>
        <w:spacing w:before="156" w:after="156"/>
        <w:ind w:firstLine="480"/>
        <w:rPr>
          <w:rFonts w:cs="Times New Roman"/>
          <w:bCs w:val="0"/>
          <w:szCs w:val="24"/>
        </w:rPr>
      </w:pPr>
      <w:r>
        <w:rPr>
          <w:rFonts w:cs="Times New Roman" w:hint="eastAsia"/>
          <w:bCs w:val="0"/>
          <w:szCs w:val="24"/>
        </w:rPr>
        <w:t>中药传统名方产业化项目，通过引进中药传统名方产品，将进一步丰富公司产品管线。公司全资子公司江苏中兴部分产品也为中药产品，如复方益肝灵片、参芪健胃颗粒等等。同时，水飞蓟宾葡甲胺片主要成分通过菊科植物水飞蓟果实提取分离取得，生产工艺及市场定位均与中药产品类似，同时结合了现代制药技术的优势，</w:t>
      </w:r>
      <w:r>
        <w:rPr>
          <w:rFonts w:cs="Times New Roman" w:hint="eastAsia"/>
          <w:bCs w:val="0"/>
          <w:szCs w:val="24"/>
        </w:rPr>
        <w:t>2021</w:t>
      </w:r>
      <w:r>
        <w:rPr>
          <w:rFonts w:cs="Times New Roman" w:hint="eastAsia"/>
          <w:bCs w:val="0"/>
          <w:szCs w:val="24"/>
        </w:rPr>
        <w:t>年、</w:t>
      </w:r>
      <w:r>
        <w:rPr>
          <w:rFonts w:cs="Times New Roman" w:hint="eastAsia"/>
          <w:bCs w:val="0"/>
          <w:szCs w:val="24"/>
        </w:rPr>
        <w:t>2022</w:t>
      </w:r>
      <w:r>
        <w:rPr>
          <w:rFonts w:cs="Times New Roman" w:hint="eastAsia"/>
          <w:bCs w:val="0"/>
          <w:szCs w:val="24"/>
        </w:rPr>
        <w:t>年、</w:t>
      </w:r>
      <w:r>
        <w:rPr>
          <w:rFonts w:cs="Times New Roman" w:hint="eastAsia"/>
          <w:bCs w:val="0"/>
          <w:szCs w:val="24"/>
        </w:rPr>
        <w:t>2023</w:t>
      </w:r>
      <w:r>
        <w:rPr>
          <w:rFonts w:cs="Times New Roman" w:hint="eastAsia"/>
          <w:bCs w:val="0"/>
          <w:szCs w:val="24"/>
        </w:rPr>
        <w:t>年和</w:t>
      </w:r>
      <w:r>
        <w:rPr>
          <w:rFonts w:cs="Times New Roman" w:hint="eastAsia"/>
          <w:bCs w:val="0"/>
          <w:szCs w:val="24"/>
        </w:rPr>
        <w:t>2024</w:t>
      </w:r>
      <w:r>
        <w:rPr>
          <w:rFonts w:cs="Times New Roman" w:hint="eastAsia"/>
          <w:bCs w:val="0"/>
          <w:szCs w:val="24"/>
        </w:rPr>
        <w:t>年</w:t>
      </w:r>
      <w:r>
        <w:rPr>
          <w:rFonts w:cs="Times New Roman" w:hint="eastAsia"/>
          <w:bCs w:val="0"/>
          <w:szCs w:val="24"/>
        </w:rPr>
        <w:t>1-9</w:t>
      </w:r>
      <w:r>
        <w:rPr>
          <w:rFonts w:cs="Times New Roman" w:hint="eastAsia"/>
          <w:bCs w:val="0"/>
          <w:szCs w:val="24"/>
        </w:rPr>
        <w:t>月，公司水飞蓟宾葡甲胺片、复方益肝灵片及参芪健胃颗粒等实现的销售额分别为</w:t>
      </w:r>
      <w:r>
        <w:rPr>
          <w:rFonts w:cs="Times New Roman" w:hint="eastAsia"/>
          <w:bCs w:val="0"/>
          <w:szCs w:val="24"/>
        </w:rPr>
        <w:t>18,737.76</w:t>
      </w:r>
      <w:r>
        <w:rPr>
          <w:rFonts w:cs="Times New Roman" w:hint="eastAsia"/>
          <w:bCs w:val="0"/>
          <w:szCs w:val="24"/>
        </w:rPr>
        <w:t>万元、</w:t>
      </w:r>
      <w:r>
        <w:rPr>
          <w:rFonts w:cs="Times New Roman" w:hint="eastAsia"/>
          <w:bCs w:val="0"/>
          <w:szCs w:val="24"/>
        </w:rPr>
        <w:t>19,966.49</w:t>
      </w:r>
      <w:r>
        <w:rPr>
          <w:rFonts w:cs="Times New Roman" w:hint="eastAsia"/>
          <w:bCs w:val="0"/>
          <w:szCs w:val="24"/>
        </w:rPr>
        <w:t>万元、</w:t>
      </w:r>
      <w:r w:rsidR="00DB0969" w:rsidRPr="00DB0969">
        <w:rPr>
          <w:rFonts w:cs="Times New Roman"/>
          <w:bCs w:val="0"/>
          <w:szCs w:val="24"/>
        </w:rPr>
        <w:t>22,467.34</w:t>
      </w:r>
      <w:r>
        <w:rPr>
          <w:rFonts w:cs="Times New Roman" w:hint="eastAsia"/>
          <w:bCs w:val="0"/>
          <w:szCs w:val="24"/>
        </w:rPr>
        <w:t>万元和</w:t>
      </w:r>
      <w:r>
        <w:rPr>
          <w:rFonts w:cs="Times New Roman" w:hint="eastAsia"/>
          <w:bCs w:val="0"/>
          <w:szCs w:val="24"/>
        </w:rPr>
        <w:t>15,977.59</w:t>
      </w:r>
      <w:r>
        <w:rPr>
          <w:rFonts w:cs="Times New Roman" w:hint="eastAsia"/>
          <w:bCs w:val="0"/>
          <w:szCs w:val="24"/>
        </w:rPr>
        <w:t>万元。公司从事药品生产多年，在药品的生产工艺及药品质量管控上管理经验丰富，顺利通过多次药监部门的飞行检查。公司收购中药传统名方药品批号并建设配套生产线，通</w:t>
      </w:r>
      <w:r>
        <w:rPr>
          <w:rFonts w:cs="Times New Roman" w:hint="eastAsia"/>
          <w:bCs w:val="0"/>
          <w:szCs w:val="24"/>
        </w:rPr>
        <w:lastRenderedPageBreak/>
        <w:t>过优质工艺、高品质道地药材提升产品品质，以实现更高的附加值，适应国内快速增长的大健康消费升级需求，并通过引进圆山基金为战投，借助与漳州大健康产业的战略合作推进公司在中药大健康领域的战略布局。中药传统名方产业化项目系公司中药产品业务向高端产品的延伸，符合公司的业务发展方向和战略布局，不属于新业务。</w:t>
      </w:r>
    </w:p>
    <w:p w14:paraId="2F7F66F4" w14:textId="77777777" w:rsidR="00CE75D3" w:rsidRDefault="00000000">
      <w:pPr>
        <w:adjustRightInd/>
        <w:snapToGrid/>
        <w:spacing w:before="156" w:afterLines="0" w:after="0"/>
        <w:ind w:firstLine="480"/>
        <w:rPr>
          <w:rFonts w:cs="Times New Roman"/>
          <w:bCs w:val="0"/>
          <w:szCs w:val="20"/>
        </w:rPr>
      </w:pPr>
      <w:r>
        <w:rPr>
          <w:rFonts w:cs="Times New Roman" w:hint="eastAsia"/>
          <w:bCs w:val="0"/>
          <w:szCs w:val="24"/>
        </w:rPr>
        <w:t>补充流动资金项目，有助于提升公司抗风险能力，满足公司的持续发展的营运资金需求。</w:t>
      </w:r>
      <w:bookmarkEnd w:id="2"/>
    </w:p>
    <w:bookmarkEnd w:id="1"/>
    <w:p w14:paraId="459D5CD5" w14:textId="77777777" w:rsidR="00CE75D3" w:rsidRDefault="00000000">
      <w:pPr>
        <w:keepNext/>
        <w:keepLines/>
        <w:widowControl/>
        <w:adjustRightInd/>
        <w:snapToGrid/>
        <w:spacing w:before="156" w:after="156"/>
        <w:ind w:firstLine="482"/>
        <w:outlineLvl w:val="2"/>
        <w:rPr>
          <w:rFonts w:eastAsia="黑体" w:cs="Times New Roman"/>
          <w:b/>
          <w:szCs w:val="28"/>
        </w:rPr>
      </w:pPr>
      <w:r>
        <w:rPr>
          <w:rFonts w:eastAsia="黑体" w:cs="Times New Roman"/>
          <w:b/>
          <w:szCs w:val="28"/>
        </w:rPr>
        <w:t>（二）公司从事募投项目在人员、技术、专利等方面的储备情况</w:t>
      </w:r>
    </w:p>
    <w:p w14:paraId="40FF2814" w14:textId="77777777" w:rsidR="00CE75D3" w:rsidRDefault="00000000">
      <w:pPr>
        <w:snapToGrid/>
        <w:spacing w:before="156" w:afterLines="0" w:after="160"/>
        <w:ind w:firstLineChars="0" w:firstLine="420"/>
        <w:rPr>
          <w:rFonts w:cs="Times New Roman"/>
          <w:bCs w:val="0"/>
          <w:spacing w:val="4"/>
          <w:kern w:val="0"/>
          <w:szCs w:val="20"/>
        </w:rPr>
      </w:pPr>
      <w:r>
        <w:rPr>
          <w:rFonts w:cs="Times New Roman"/>
          <w:bCs w:val="0"/>
          <w:spacing w:val="4"/>
          <w:kern w:val="0"/>
          <w:szCs w:val="20"/>
        </w:rPr>
        <w:t>公司近年来持续深耕肝脏健康领域与抗病毒领域，在医药研发、生产与销售等方面积累了丰富的行业经验，并逐渐积累起自身的技术壁垒。同时，公司高度重视人才队伍建设，通过搭建科学合理的薪酬管理体系和人才培养机制，培养了大批优秀的技术人员及研发人员，组织工作效率得到持续提升。目前，公司在技术研发、生产管理、市场营销等关键管理岗位上拥有一批行业专家与优秀人才</w:t>
      </w:r>
      <w:r>
        <w:rPr>
          <w:rFonts w:cs="Times New Roman" w:hint="eastAsia"/>
          <w:bCs w:val="0"/>
          <w:spacing w:val="4"/>
          <w:kern w:val="0"/>
          <w:szCs w:val="20"/>
        </w:rPr>
        <w:t>，公司关键研发人员均有全球一线大药企创新药研发工作履历，具有丰富的创新药研发工作经验</w:t>
      </w:r>
      <w:r>
        <w:rPr>
          <w:rFonts w:cs="Times New Roman"/>
          <w:bCs w:val="0"/>
          <w:spacing w:val="4"/>
          <w:kern w:val="0"/>
          <w:szCs w:val="20"/>
        </w:rPr>
        <w:t>。针对创新药研发方向，公司已聘任多位业界专家全面负责药物临床开发、运营管理及商业化运营工作，为高层次的药物研发与运营工作提供了充足的人才保障。针对本次募投项目具体投向的药物，公司在前期研发过程中已通过</w:t>
      </w:r>
      <w:r>
        <w:rPr>
          <w:rFonts w:cs="Times New Roman"/>
          <w:bCs w:val="0"/>
          <w:spacing w:val="4"/>
          <w:kern w:val="0"/>
          <w:szCs w:val="20"/>
        </w:rPr>
        <w:t>PCT</w:t>
      </w:r>
      <w:r>
        <w:rPr>
          <w:rFonts w:cs="Times New Roman"/>
          <w:bCs w:val="0"/>
          <w:spacing w:val="4"/>
          <w:kern w:val="0"/>
          <w:szCs w:val="20"/>
        </w:rPr>
        <w:t>途径申请国际专利，目前部分药物已取得多个国家或地区的化合物发明专利授权以及晶型发明专利授权，另有多个专利处于审查状态。公司相关专利储备完善，有助于公司充分发挥自主知识产权优势，持续提升自身核心竞争力。</w:t>
      </w:r>
    </w:p>
    <w:p w14:paraId="17B152CC" w14:textId="77777777" w:rsidR="00CE75D3" w:rsidRDefault="00000000">
      <w:pPr>
        <w:keepNext/>
        <w:keepLines/>
        <w:widowControl/>
        <w:adjustRightInd/>
        <w:snapToGrid/>
        <w:spacing w:before="156" w:after="156"/>
        <w:ind w:firstLineChars="0" w:firstLine="0"/>
        <w:outlineLvl w:val="1"/>
        <w:rPr>
          <w:rFonts w:eastAsia="黑体" w:cs="Times New Roman"/>
          <w:b/>
          <w:sz w:val="28"/>
          <w:szCs w:val="28"/>
        </w:rPr>
      </w:pPr>
      <w:r>
        <w:rPr>
          <w:rFonts w:eastAsia="黑体" w:cs="Times New Roman"/>
          <w:b/>
          <w:sz w:val="28"/>
          <w:szCs w:val="28"/>
        </w:rPr>
        <w:t>五、公司应对本次发行摊薄即期回报采取的措施</w:t>
      </w:r>
    </w:p>
    <w:p w14:paraId="08C2132F" w14:textId="77777777" w:rsidR="00CE75D3" w:rsidRDefault="00000000">
      <w:pPr>
        <w:adjustRightInd/>
        <w:snapToGrid/>
        <w:spacing w:before="156" w:afterLines="0" w:after="0"/>
        <w:ind w:firstLine="480"/>
        <w:rPr>
          <w:rFonts w:cs="Times New Roman"/>
          <w:bCs w:val="0"/>
        </w:rPr>
      </w:pPr>
      <w:r>
        <w:rPr>
          <w:rFonts w:cs="Times New Roman"/>
          <w:bCs w:val="0"/>
        </w:rPr>
        <w:t>考虑本次向特定对象发行可能摊薄普通股股东即期回报，为保护公司普通股股东特别是中小股东利益，上市公司将采取以下具体填补回报措施，增强公司盈利能力和股东回报水平：</w:t>
      </w:r>
    </w:p>
    <w:p w14:paraId="1866B8F6" w14:textId="77777777" w:rsidR="00CE75D3" w:rsidRDefault="00000000">
      <w:pPr>
        <w:keepNext/>
        <w:keepLines/>
        <w:widowControl/>
        <w:adjustRightInd/>
        <w:snapToGrid/>
        <w:spacing w:before="156" w:after="156"/>
        <w:ind w:firstLine="482"/>
        <w:outlineLvl w:val="2"/>
        <w:rPr>
          <w:rFonts w:eastAsia="黑体" w:cs="Times New Roman"/>
          <w:b/>
          <w:szCs w:val="28"/>
        </w:rPr>
      </w:pPr>
      <w:r>
        <w:rPr>
          <w:rFonts w:eastAsia="黑体" w:cs="Times New Roman"/>
          <w:b/>
          <w:szCs w:val="28"/>
        </w:rPr>
        <w:t>（一）持续强化竞争优势，有效提升公司盈利能力</w:t>
      </w:r>
    </w:p>
    <w:p w14:paraId="37D26266" w14:textId="77777777" w:rsidR="00CE75D3" w:rsidRDefault="00000000">
      <w:pPr>
        <w:adjustRightInd/>
        <w:snapToGrid/>
        <w:spacing w:before="156" w:afterLines="0" w:after="0"/>
        <w:ind w:firstLine="480"/>
        <w:rPr>
          <w:rFonts w:cs="Times New Roman"/>
          <w:bCs w:val="0"/>
        </w:rPr>
      </w:pPr>
      <w:r>
        <w:rPr>
          <w:rFonts w:cs="Times New Roman"/>
          <w:bCs w:val="0"/>
        </w:rPr>
        <w:t>公司是国内深耕抗病毒及肝脏健康领域领先的创新药研发生产企业，在发展过程中逐步形成了产品、技术、人才、营销、品牌及渠道等竞争优势。公司将在巩固现有业务优势的基础上进一步加强研发与市场开拓，不断完善产品管线，从产品结构、市场布局</w:t>
      </w:r>
      <w:r>
        <w:rPr>
          <w:rFonts w:cs="Times New Roman"/>
          <w:bCs w:val="0"/>
        </w:rPr>
        <w:lastRenderedPageBreak/>
        <w:t>和技术实力等方面全面提升公司的市场竞争力，持续提升公司的盈利能力。</w:t>
      </w:r>
    </w:p>
    <w:p w14:paraId="1D15C344" w14:textId="77777777" w:rsidR="00CE75D3" w:rsidRDefault="00000000">
      <w:pPr>
        <w:keepNext/>
        <w:keepLines/>
        <w:widowControl/>
        <w:adjustRightInd/>
        <w:snapToGrid/>
        <w:spacing w:before="156" w:after="156"/>
        <w:ind w:firstLine="482"/>
        <w:outlineLvl w:val="2"/>
        <w:rPr>
          <w:rFonts w:eastAsia="黑体" w:cs="Times New Roman"/>
          <w:b/>
          <w:szCs w:val="28"/>
        </w:rPr>
      </w:pPr>
      <w:r>
        <w:rPr>
          <w:rFonts w:eastAsia="黑体" w:cs="Times New Roman"/>
          <w:b/>
          <w:szCs w:val="28"/>
        </w:rPr>
        <w:t>（二）积极落实募集资金投资项目，助力公司业务发展</w:t>
      </w:r>
      <w:r>
        <w:rPr>
          <w:rFonts w:eastAsia="黑体" w:cs="Times New Roman"/>
          <w:b/>
          <w:szCs w:val="28"/>
        </w:rPr>
        <w:t xml:space="preserve"> </w:t>
      </w:r>
    </w:p>
    <w:p w14:paraId="66F0C3DE" w14:textId="77777777" w:rsidR="00CE75D3" w:rsidRDefault="00000000">
      <w:pPr>
        <w:adjustRightInd/>
        <w:snapToGrid/>
        <w:spacing w:before="156" w:afterLines="0" w:after="0"/>
        <w:ind w:firstLine="480"/>
        <w:rPr>
          <w:rFonts w:cs="Times New Roman"/>
          <w:bCs w:val="0"/>
        </w:rPr>
      </w:pPr>
      <w:r>
        <w:rPr>
          <w:rFonts w:cs="Times New Roman"/>
          <w:bCs w:val="0"/>
        </w:rPr>
        <w:t>本次募集资金投资项目的实施，将推动公司业务发展，进一步加强公司创新药的研发能力和研发进度，进一步提高公司市场竞争力，为公司的战略发展带来积极影响。本次发行募集资金到位后，公司将积极推进募集资金投资项目，从而降低本次发行对股东即期回报摊薄的风险。</w:t>
      </w:r>
    </w:p>
    <w:p w14:paraId="3D971662" w14:textId="77777777" w:rsidR="00CE75D3" w:rsidRDefault="00000000">
      <w:pPr>
        <w:keepNext/>
        <w:keepLines/>
        <w:widowControl/>
        <w:adjustRightInd/>
        <w:snapToGrid/>
        <w:spacing w:before="156" w:after="156"/>
        <w:ind w:firstLine="482"/>
        <w:outlineLvl w:val="2"/>
        <w:rPr>
          <w:rFonts w:eastAsia="黑体" w:cs="Times New Roman"/>
          <w:b/>
          <w:szCs w:val="28"/>
        </w:rPr>
      </w:pPr>
      <w:r>
        <w:rPr>
          <w:rFonts w:eastAsia="黑体" w:cs="Times New Roman"/>
          <w:b/>
          <w:szCs w:val="28"/>
        </w:rPr>
        <w:t>（三）加强对募集资金的管理，防范募集资金使用风险</w:t>
      </w:r>
    </w:p>
    <w:p w14:paraId="6842754E" w14:textId="77777777" w:rsidR="00CE75D3" w:rsidRDefault="00000000">
      <w:pPr>
        <w:adjustRightInd/>
        <w:snapToGrid/>
        <w:spacing w:before="156" w:afterLines="0" w:after="0"/>
        <w:ind w:firstLine="480"/>
        <w:rPr>
          <w:rFonts w:cs="Times New Roman"/>
          <w:bCs w:val="0"/>
        </w:rPr>
      </w:pPr>
      <w:r>
        <w:rPr>
          <w:rFonts w:cs="Times New Roman"/>
          <w:bCs w:val="0"/>
        </w:rPr>
        <w:t>公司已根据《中华人民共和国证券法》（以下简称</w:t>
      </w:r>
      <w:r>
        <w:rPr>
          <w:rFonts w:cs="Times New Roman"/>
          <w:bCs w:val="0"/>
        </w:rPr>
        <w:t>“</w:t>
      </w:r>
      <w:r>
        <w:rPr>
          <w:rFonts w:cs="Times New Roman"/>
          <w:bCs w:val="0"/>
        </w:rPr>
        <w:t>《证券法》</w:t>
      </w:r>
      <w:r>
        <w:rPr>
          <w:rFonts w:cs="Times New Roman"/>
          <w:bCs w:val="0"/>
        </w:rPr>
        <w:t>”</w:t>
      </w:r>
      <w:r>
        <w:rPr>
          <w:rFonts w:cs="Times New Roman"/>
          <w:bCs w:val="0"/>
        </w:rPr>
        <w:t>）《中华人民共和国公司法》（以下简称</w:t>
      </w:r>
      <w:r>
        <w:rPr>
          <w:rFonts w:cs="Times New Roman"/>
          <w:bCs w:val="0"/>
        </w:rPr>
        <w:t>“</w:t>
      </w:r>
      <w:r>
        <w:rPr>
          <w:rFonts w:cs="Times New Roman"/>
          <w:bCs w:val="0"/>
        </w:rPr>
        <w:t>《公司法》</w:t>
      </w:r>
      <w:r>
        <w:rPr>
          <w:rFonts w:cs="Times New Roman"/>
          <w:bCs w:val="0"/>
        </w:rPr>
        <w:t>”</w:t>
      </w:r>
      <w:r>
        <w:rPr>
          <w:rFonts w:cs="Times New Roman"/>
          <w:bCs w:val="0"/>
        </w:rPr>
        <w:t>）《上市公司证券发行注册管理办法》（以下简称</w:t>
      </w:r>
      <w:r>
        <w:rPr>
          <w:rFonts w:cs="Times New Roman"/>
          <w:bCs w:val="0"/>
        </w:rPr>
        <w:t>“</w:t>
      </w:r>
      <w:r>
        <w:rPr>
          <w:rFonts w:cs="Times New Roman"/>
          <w:bCs w:val="0"/>
        </w:rPr>
        <w:t>《注册管理办法》</w:t>
      </w:r>
      <w:r>
        <w:rPr>
          <w:rFonts w:cs="Times New Roman"/>
          <w:bCs w:val="0"/>
        </w:rPr>
        <w:t>”</w:t>
      </w:r>
      <w:r>
        <w:rPr>
          <w:rFonts w:cs="Times New Roman"/>
          <w:bCs w:val="0"/>
        </w:rPr>
        <w:t>）《上市公司监管指引第</w:t>
      </w:r>
      <w:r>
        <w:rPr>
          <w:rFonts w:cs="Times New Roman"/>
          <w:bCs w:val="0"/>
        </w:rPr>
        <w:t>2</w:t>
      </w:r>
      <w:r>
        <w:rPr>
          <w:rFonts w:cs="Times New Roman"/>
          <w:bCs w:val="0"/>
        </w:rPr>
        <w:t>号</w:t>
      </w:r>
      <w:r>
        <w:rPr>
          <w:rFonts w:cs="Times New Roman"/>
          <w:bCs w:val="0"/>
        </w:rPr>
        <w:t>——</w:t>
      </w:r>
      <w:r>
        <w:rPr>
          <w:rFonts w:cs="Times New Roman"/>
          <w:bCs w:val="0"/>
        </w:rPr>
        <w:t>上市公司募集资金管理和使用的监管要求》等法律、法规和规范性文件的要求，结合公司实际情况，制定了《福建广生堂药业股份有限公司募集资金管理办法募集资金管理办法》，严格管理募集资金，保证募集资金按照约定用途合理规范的使用，防范募集资金使用风险。公司将定期对募集资金进行内部审计、配合存管银行和保荐机构对募集资金使用的检查和监督。</w:t>
      </w:r>
    </w:p>
    <w:p w14:paraId="589B2B05" w14:textId="77777777" w:rsidR="00CE75D3" w:rsidRDefault="00000000">
      <w:pPr>
        <w:keepNext/>
        <w:keepLines/>
        <w:widowControl/>
        <w:adjustRightInd/>
        <w:snapToGrid/>
        <w:spacing w:before="156" w:after="156"/>
        <w:ind w:firstLine="482"/>
        <w:outlineLvl w:val="2"/>
        <w:rPr>
          <w:rFonts w:eastAsia="黑体" w:cs="Times New Roman"/>
          <w:b/>
          <w:szCs w:val="28"/>
        </w:rPr>
      </w:pPr>
      <w:r>
        <w:rPr>
          <w:rFonts w:eastAsia="黑体" w:cs="Times New Roman"/>
          <w:b/>
          <w:szCs w:val="28"/>
        </w:rPr>
        <w:t>（四）不断完善公司治理，为公司发展提供制度保障</w:t>
      </w:r>
    </w:p>
    <w:p w14:paraId="53CE380E" w14:textId="77777777" w:rsidR="00CE75D3" w:rsidRDefault="00000000">
      <w:pPr>
        <w:adjustRightInd/>
        <w:snapToGrid/>
        <w:spacing w:before="156" w:afterLines="0" w:after="0"/>
        <w:ind w:firstLine="480"/>
        <w:rPr>
          <w:rFonts w:cs="Times New Roman"/>
          <w:bCs w:val="0"/>
        </w:rPr>
      </w:pPr>
      <w:r>
        <w:rPr>
          <w:rFonts w:cs="Times New Roman"/>
          <w:bCs w:val="0"/>
        </w:rPr>
        <w:t>公司将严格遵循《公司法》《证券法》《上市公司治理准则》等法律法规和规范性文件的要求，完善现代企业管理制度，优化公司治理结构，确保公司股东特别是中小股东能够充分行使股东权利，确保董事会能够按照法律、法规和《公司章程》的规定行使职权，作出科学、迅速和谨慎地决策，确保独立董事能够认真履行职责，维护公司整体利益，尤其是中小股东的合法权益，确保监事会能够独立有效地行使对董事、经理和其他高级管理人员及公司财务的监督权和检查权，为公司的长远健康发展提供制度保障。</w:t>
      </w:r>
    </w:p>
    <w:p w14:paraId="294957BD" w14:textId="77777777" w:rsidR="00CE75D3" w:rsidRDefault="00000000">
      <w:pPr>
        <w:keepNext/>
        <w:keepLines/>
        <w:widowControl/>
        <w:adjustRightInd/>
        <w:snapToGrid/>
        <w:spacing w:before="156" w:after="156"/>
        <w:ind w:firstLine="482"/>
        <w:outlineLvl w:val="2"/>
        <w:rPr>
          <w:rFonts w:eastAsia="黑体" w:cs="Times New Roman"/>
          <w:b/>
          <w:szCs w:val="28"/>
        </w:rPr>
      </w:pPr>
      <w:r>
        <w:rPr>
          <w:rFonts w:eastAsia="黑体" w:cs="Times New Roman"/>
          <w:b/>
          <w:szCs w:val="28"/>
        </w:rPr>
        <w:t>（五）严格执行现金分红政策，强化投资者回报机制</w:t>
      </w:r>
      <w:r>
        <w:rPr>
          <w:rFonts w:eastAsia="黑体" w:cs="Times New Roman"/>
          <w:b/>
          <w:szCs w:val="28"/>
        </w:rPr>
        <w:t xml:space="preserve"> </w:t>
      </w:r>
    </w:p>
    <w:p w14:paraId="7DB7C1A7" w14:textId="77777777" w:rsidR="00CE75D3" w:rsidRDefault="00000000">
      <w:pPr>
        <w:adjustRightInd/>
        <w:snapToGrid/>
        <w:spacing w:before="156" w:afterLines="0" w:after="0"/>
        <w:ind w:firstLine="480"/>
        <w:rPr>
          <w:rFonts w:cs="Times New Roman"/>
          <w:bCs w:val="0"/>
        </w:rPr>
      </w:pPr>
      <w:r>
        <w:rPr>
          <w:rFonts w:cs="Times New Roman"/>
          <w:bCs w:val="0"/>
        </w:rPr>
        <w:t>公司已经按照《关于进一步落实上市公司现金分红有关事项的通知》和《上市公司监管指引第</w:t>
      </w:r>
      <w:r>
        <w:rPr>
          <w:rFonts w:cs="Times New Roman"/>
          <w:bCs w:val="0"/>
        </w:rPr>
        <w:t>3</w:t>
      </w:r>
      <w:r>
        <w:rPr>
          <w:rFonts w:cs="Times New Roman"/>
          <w:bCs w:val="0"/>
        </w:rPr>
        <w:t>号</w:t>
      </w:r>
      <w:r>
        <w:rPr>
          <w:rFonts w:cs="Times New Roman"/>
          <w:bCs w:val="0"/>
        </w:rPr>
        <w:t>——</w:t>
      </w:r>
      <w:r>
        <w:rPr>
          <w:rFonts w:cs="Times New Roman"/>
          <w:bCs w:val="0"/>
        </w:rPr>
        <w:t>上市公司现金分红》及其他相关法律、法规和规范性文件的要求，进一步明确了公司利润分配方案、分配原则、分配形式及决策机制，强化了中小投资者权益保障机制。</w:t>
      </w:r>
      <w:r>
        <w:rPr>
          <w:rFonts w:cs="Times New Roman"/>
          <w:bCs w:val="0"/>
        </w:rPr>
        <w:t xml:space="preserve"> </w:t>
      </w:r>
    </w:p>
    <w:p w14:paraId="0D8D1543" w14:textId="77777777" w:rsidR="00CE75D3" w:rsidRDefault="00000000">
      <w:pPr>
        <w:adjustRightInd/>
        <w:snapToGrid/>
        <w:spacing w:before="156" w:afterLines="0" w:after="0"/>
        <w:ind w:firstLine="480"/>
        <w:rPr>
          <w:rFonts w:cs="Times New Roman"/>
          <w:bCs w:val="0"/>
        </w:rPr>
      </w:pPr>
      <w:r>
        <w:rPr>
          <w:rFonts w:cs="Times New Roman"/>
          <w:bCs w:val="0"/>
        </w:rPr>
        <w:lastRenderedPageBreak/>
        <w:t>未来，公司将继续严格执行公司分红政策，强化投资者回报机制，确保公司股东特别是中小股东的利益得到保护。但公司制定上述填补回报措施不等于对公司未来利润作出任何保证，敬请投资者注意投资风险。</w:t>
      </w:r>
    </w:p>
    <w:p w14:paraId="78756CE6" w14:textId="77777777" w:rsidR="00CE75D3" w:rsidRDefault="00000000">
      <w:pPr>
        <w:adjustRightInd/>
        <w:snapToGrid/>
        <w:spacing w:before="156" w:afterLines="0" w:after="0"/>
        <w:ind w:firstLine="480"/>
        <w:rPr>
          <w:rFonts w:cs="Times New Roman"/>
          <w:bCs w:val="0"/>
        </w:rPr>
      </w:pPr>
      <w:r>
        <w:rPr>
          <w:rFonts w:cs="Times New Roman"/>
          <w:bCs w:val="0"/>
        </w:rPr>
        <w:t>综上，本次发行完成后，公司将提升管理水平，强化主营业务，积极推进募集资金投资项目实施，加强募集资金管理，并通过不断完善公司治理等措施，进一步提升公司的盈利能力、市场竞争力及运营效率。在满足利润分配条件的前提下，公司将积极推动对股东的利润分配，提升公司对股东的回报能力。</w:t>
      </w:r>
    </w:p>
    <w:p w14:paraId="4BDFB149" w14:textId="77777777" w:rsidR="00CE75D3" w:rsidRDefault="00000000">
      <w:pPr>
        <w:keepNext/>
        <w:keepLines/>
        <w:widowControl/>
        <w:adjustRightInd/>
        <w:snapToGrid/>
        <w:spacing w:before="156" w:after="156"/>
        <w:ind w:firstLineChars="0" w:firstLine="0"/>
        <w:outlineLvl w:val="1"/>
        <w:rPr>
          <w:rFonts w:eastAsia="黑体" w:cs="Times New Roman"/>
          <w:b/>
          <w:sz w:val="28"/>
          <w:szCs w:val="28"/>
        </w:rPr>
      </w:pPr>
      <w:r>
        <w:rPr>
          <w:rFonts w:eastAsia="黑体" w:cs="Times New Roman"/>
          <w:b/>
          <w:sz w:val="28"/>
          <w:szCs w:val="28"/>
        </w:rPr>
        <w:t>六、相关主体出具的承诺</w:t>
      </w:r>
    </w:p>
    <w:p w14:paraId="5FA10F90" w14:textId="77777777" w:rsidR="00CE75D3" w:rsidRDefault="00000000">
      <w:pPr>
        <w:adjustRightInd/>
        <w:snapToGrid/>
        <w:spacing w:before="156" w:afterLines="0" w:after="0"/>
        <w:ind w:firstLine="480"/>
        <w:rPr>
          <w:rFonts w:cs="Times New Roman"/>
          <w:bCs w:val="0"/>
        </w:rPr>
      </w:pPr>
      <w:r>
        <w:rPr>
          <w:rFonts w:cs="Times New Roman"/>
          <w:bCs w:val="0"/>
        </w:rPr>
        <w:t>公司就本次向特定对象发行</w:t>
      </w:r>
      <w:r>
        <w:rPr>
          <w:rFonts w:cs="Times New Roman"/>
          <w:bCs w:val="0"/>
        </w:rPr>
        <w:t>A</w:t>
      </w:r>
      <w:r>
        <w:rPr>
          <w:rFonts w:cs="Times New Roman"/>
          <w:bCs w:val="0"/>
        </w:rPr>
        <w:t>股股票摊薄即期回报对主要财务指标的影响进行了分析并提出了具体的填补回报措施，相关主体对填补回报措施能够切实履行作出了承诺，具体情况如下：</w:t>
      </w:r>
    </w:p>
    <w:p w14:paraId="40DF038B" w14:textId="77777777" w:rsidR="00CE75D3" w:rsidRDefault="00000000">
      <w:pPr>
        <w:keepNext/>
        <w:keepLines/>
        <w:widowControl/>
        <w:adjustRightInd/>
        <w:snapToGrid/>
        <w:spacing w:before="156" w:after="156"/>
        <w:ind w:firstLine="482"/>
        <w:outlineLvl w:val="2"/>
        <w:rPr>
          <w:rFonts w:eastAsia="黑体" w:cs="Times New Roman"/>
          <w:b/>
          <w:szCs w:val="28"/>
        </w:rPr>
      </w:pPr>
      <w:r>
        <w:rPr>
          <w:rFonts w:eastAsia="黑体" w:cs="Times New Roman"/>
          <w:b/>
          <w:szCs w:val="28"/>
        </w:rPr>
        <w:t>（一）公司董事和高级管理人员对公司本次向特定对象发行</w:t>
      </w:r>
      <w:r>
        <w:rPr>
          <w:rFonts w:eastAsia="黑体" w:cs="Times New Roman"/>
          <w:b/>
          <w:szCs w:val="28"/>
        </w:rPr>
        <w:t>A</w:t>
      </w:r>
      <w:r>
        <w:rPr>
          <w:rFonts w:eastAsia="黑体" w:cs="Times New Roman"/>
          <w:b/>
          <w:szCs w:val="28"/>
        </w:rPr>
        <w:t>股股票摊薄即期回报采取填补措施的承诺</w:t>
      </w:r>
    </w:p>
    <w:p w14:paraId="4697CB7B" w14:textId="77777777" w:rsidR="00CE75D3" w:rsidRDefault="00000000">
      <w:pPr>
        <w:adjustRightInd/>
        <w:snapToGrid/>
        <w:spacing w:before="156" w:afterLines="0" w:after="0"/>
        <w:ind w:firstLine="480"/>
        <w:rPr>
          <w:rFonts w:cs="Times New Roman"/>
          <w:bCs w:val="0"/>
        </w:rPr>
      </w:pPr>
      <w:r>
        <w:rPr>
          <w:rFonts w:cs="Times New Roman"/>
          <w:bCs w:val="0"/>
        </w:rPr>
        <w:t>为维护公司和全体股东合法权益，并根据中国证监会相关规定对公司填补回报措施能够得到切实履行，公司全体董事及高级管理人员将忠实、勤勉履行职责，并承诺：</w:t>
      </w:r>
    </w:p>
    <w:p w14:paraId="4865FB4F" w14:textId="77777777" w:rsidR="00CE75D3" w:rsidRDefault="00000000">
      <w:pPr>
        <w:adjustRightInd/>
        <w:snapToGrid/>
        <w:spacing w:before="156" w:afterLines="0" w:after="0"/>
        <w:ind w:firstLine="480"/>
        <w:rPr>
          <w:rFonts w:cs="Times New Roman"/>
          <w:bCs w:val="0"/>
        </w:rPr>
      </w:pPr>
      <w:r>
        <w:rPr>
          <w:rFonts w:cs="Times New Roman"/>
          <w:bCs w:val="0"/>
        </w:rPr>
        <w:t>“1</w:t>
      </w:r>
      <w:r>
        <w:rPr>
          <w:rFonts w:cs="Times New Roman"/>
          <w:bCs w:val="0"/>
        </w:rPr>
        <w:t>、本人承诺不无偿或以不公平条件向其他单位或者个人输送利益，也不采用其他方式损害公司利益；</w:t>
      </w:r>
    </w:p>
    <w:p w14:paraId="0B66E66F" w14:textId="77777777" w:rsidR="00CE75D3" w:rsidRDefault="00000000">
      <w:pPr>
        <w:adjustRightInd/>
        <w:snapToGrid/>
        <w:spacing w:before="156" w:afterLines="0" w:after="0"/>
        <w:ind w:firstLine="480"/>
        <w:rPr>
          <w:rFonts w:cs="Times New Roman"/>
          <w:bCs w:val="0"/>
        </w:rPr>
      </w:pPr>
      <w:r>
        <w:rPr>
          <w:rFonts w:cs="Times New Roman"/>
          <w:bCs w:val="0"/>
        </w:rPr>
        <w:t>2</w:t>
      </w:r>
      <w:r>
        <w:rPr>
          <w:rFonts w:cs="Times New Roman"/>
          <w:bCs w:val="0"/>
        </w:rPr>
        <w:t>、本人承诺对本人的职务消费行为进行约束；</w:t>
      </w:r>
    </w:p>
    <w:p w14:paraId="05A2F6E9" w14:textId="77777777" w:rsidR="00CE75D3" w:rsidRDefault="00000000">
      <w:pPr>
        <w:adjustRightInd/>
        <w:snapToGrid/>
        <w:spacing w:before="156" w:afterLines="0" w:after="0"/>
        <w:ind w:firstLine="480"/>
        <w:rPr>
          <w:rFonts w:cs="Times New Roman"/>
          <w:bCs w:val="0"/>
        </w:rPr>
      </w:pPr>
      <w:r>
        <w:rPr>
          <w:rFonts w:cs="Times New Roman"/>
          <w:bCs w:val="0"/>
        </w:rPr>
        <w:t>3</w:t>
      </w:r>
      <w:r>
        <w:rPr>
          <w:rFonts w:cs="Times New Roman"/>
          <w:bCs w:val="0"/>
        </w:rPr>
        <w:t>、本人承诺不动用公司资产从事与本人履行职责无关的投资、消费活动；</w:t>
      </w:r>
    </w:p>
    <w:p w14:paraId="57E7002A" w14:textId="77777777" w:rsidR="00CE75D3" w:rsidRDefault="00000000">
      <w:pPr>
        <w:adjustRightInd/>
        <w:snapToGrid/>
        <w:spacing w:before="156" w:afterLines="0" w:after="0"/>
        <w:ind w:firstLine="480"/>
        <w:rPr>
          <w:rFonts w:cs="Times New Roman"/>
          <w:bCs w:val="0"/>
        </w:rPr>
      </w:pPr>
      <w:r>
        <w:rPr>
          <w:rFonts w:cs="Times New Roman"/>
          <w:bCs w:val="0"/>
        </w:rPr>
        <w:t>4</w:t>
      </w:r>
      <w:r>
        <w:rPr>
          <w:rFonts w:cs="Times New Roman"/>
          <w:bCs w:val="0"/>
        </w:rPr>
        <w:t>、本人承诺由董事会或薪酬委员会制定的薪酬制度与公司填补回报措施的执行情况相挂钩；</w:t>
      </w:r>
    </w:p>
    <w:p w14:paraId="53FE3BF3" w14:textId="77777777" w:rsidR="00CE75D3" w:rsidRDefault="00000000">
      <w:pPr>
        <w:adjustRightInd/>
        <w:snapToGrid/>
        <w:spacing w:before="156" w:afterLines="0" w:after="0"/>
        <w:ind w:firstLine="480"/>
        <w:rPr>
          <w:rFonts w:cs="Times New Roman"/>
          <w:bCs w:val="0"/>
        </w:rPr>
      </w:pPr>
      <w:r>
        <w:rPr>
          <w:rFonts w:cs="Times New Roman"/>
          <w:bCs w:val="0"/>
        </w:rPr>
        <w:t>5</w:t>
      </w:r>
      <w:r>
        <w:rPr>
          <w:rFonts w:cs="Times New Roman"/>
          <w:bCs w:val="0"/>
        </w:rPr>
        <w:t>、未来公司如实施股权激励，本人承诺拟公布的公司股权激励的行权条件与公司填补回报措施的执行情况相挂钩；</w:t>
      </w:r>
    </w:p>
    <w:p w14:paraId="5B4EBA4F" w14:textId="77777777" w:rsidR="00CE75D3" w:rsidRDefault="00000000">
      <w:pPr>
        <w:adjustRightInd/>
        <w:snapToGrid/>
        <w:spacing w:before="156" w:afterLines="0" w:after="0"/>
        <w:ind w:firstLine="480"/>
        <w:rPr>
          <w:rFonts w:cs="Times New Roman"/>
          <w:bCs w:val="0"/>
        </w:rPr>
      </w:pPr>
      <w:r>
        <w:rPr>
          <w:rFonts w:cs="Times New Roman"/>
          <w:bCs w:val="0"/>
        </w:rPr>
        <w:t>6</w:t>
      </w:r>
      <w:r>
        <w:rPr>
          <w:rFonts w:cs="Times New Roman"/>
          <w:bCs w:val="0"/>
        </w:rPr>
        <w:t>、自本承诺出具日至公司本次向特定对象发行</w:t>
      </w:r>
      <w:r>
        <w:rPr>
          <w:rFonts w:cs="Times New Roman"/>
          <w:bCs w:val="0"/>
        </w:rPr>
        <w:t>A</w:t>
      </w:r>
      <w:r>
        <w:rPr>
          <w:rFonts w:cs="Times New Roman"/>
          <w:bCs w:val="0"/>
        </w:rPr>
        <w:t>股股票实施完毕前，若中国证券监督管理委员会和深圳证券交易所等证券监管机构作出关于填补回报措施及其承诺的</w:t>
      </w:r>
      <w:r>
        <w:rPr>
          <w:rFonts w:cs="Times New Roman"/>
          <w:bCs w:val="0"/>
        </w:rPr>
        <w:lastRenderedPageBreak/>
        <w:t>其他新的监管规定的，且上述承诺不能满足该等规定时，本人承诺届时将按照中国证券监督管理委员会和深圳证券交易所等证券监管机构的最新规定出具补充承诺。</w:t>
      </w:r>
    </w:p>
    <w:p w14:paraId="764E4B27" w14:textId="77777777" w:rsidR="00CE75D3" w:rsidRDefault="00000000">
      <w:pPr>
        <w:adjustRightInd/>
        <w:snapToGrid/>
        <w:spacing w:before="156" w:afterLines="0" w:after="0"/>
        <w:ind w:firstLine="480"/>
        <w:rPr>
          <w:rFonts w:cs="Times New Roman"/>
          <w:bCs w:val="0"/>
        </w:rPr>
      </w:pPr>
      <w:r>
        <w:rPr>
          <w:rFonts w:cs="Times New Roman"/>
          <w:bCs w:val="0"/>
        </w:rPr>
        <w:t>作为填补回报措施相关责任主体之一，若违反上述承诺或拒不履行上述承诺，本人同意接受中国证券监督管理委员会和深圳证券交易所等证券监管机构按照其制定或发布的有关规定、规则，对本人作出相关处罚或采取相关管理措施。</w:t>
      </w:r>
      <w:r>
        <w:rPr>
          <w:rFonts w:cs="Times New Roman"/>
          <w:bCs w:val="0"/>
        </w:rPr>
        <w:t>”</w:t>
      </w:r>
    </w:p>
    <w:p w14:paraId="34A60AEF" w14:textId="77777777" w:rsidR="00CE75D3" w:rsidRDefault="00000000">
      <w:pPr>
        <w:keepNext/>
        <w:keepLines/>
        <w:widowControl/>
        <w:adjustRightInd/>
        <w:snapToGrid/>
        <w:spacing w:before="156" w:after="156"/>
        <w:ind w:firstLine="482"/>
        <w:outlineLvl w:val="2"/>
        <w:rPr>
          <w:rFonts w:eastAsia="黑体" w:cs="Times New Roman"/>
          <w:b/>
          <w:szCs w:val="28"/>
        </w:rPr>
      </w:pPr>
      <w:r>
        <w:rPr>
          <w:rFonts w:eastAsia="黑体" w:cs="Times New Roman"/>
          <w:b/>
          <w:szCs w:val="28"/>
        </w:rPr>
        <w:t>（二）公司的控股股东、实际控制人对公司本次向特定对象发行</w:t>
      </w:r>
      <w:r>
        <w:rPr>
          <w:rFonts w:eastAsia="黑体" w:cs="Times New Roman"/>
          <w:b/>
          <w:szCs w:val="28"/>
        </w:rPr>
        <w:t>A</w:t>
      </w:r>
      <w:r>
        <w:rPr>
          <w:rFonts w:eastAsia="黑体" w:cs="Times New Roman"/>
          <w:b/>
          <w:szCs w:val="28"/>
        </w:rPr>
        <w:t>股股票摊薄即期回报采取填补措施的承诺</w:t>
      </w:r>
    </w:p>
    <w:p w14:paraId="60FE3EBA" w14:textId="77777777" w:rsidR="00CE75D3" w:rsidRDefault="00000000">
      <w:pPr>
        <w:adjustRightInd/>
        <w:snapToGrid/>
        <w:spacing w:before="156" w:afterLines="0" w:after="0"/>
        <w:ind w:firstLine="480"/>
        <w:rPr>
          <w:rFonts w:cs="Times New Roman"/>
          <w:bCs w:val="0"/>
        </w:rPr>
      </w:pPr>
      <w:r>
        <w:rPr>
          <w:rFonts w:cs="Times New Roman"/>
          <w:bCs w:val="0"/>
        </w:rPr>
        <w:t>为确保公司填补回报措施能够得到切实履行，公司控股股东福建奥华集团有限公司，实际控制人李国平先生、叶理青女士、李国栋先生承诺：</w:t>
      </w:r>
    </w:p>
    <w:p w14:paraId="14B93F7D" w14:textId="77777777" w:rsidR="00CE75D3" w:rsidRDefault="00000000">
      <w:pPr>
        <w:adjustRightInd/>
        <w:snapToGrid/>
        <w:spacing w:before="156" w:afterLines="0" w:after="0"/>
        <w:ind w:firstLine="480"/>
        <w:rPr>
          <w:rFonts w:cs="Times New Roman"/>
          <w:bCs w:val="0"/>
        </w:rPr>
      </w:pPr>
      <w:r>
        <w:rPr>
          <w:rFonts w:cs="Times New Roman"/>
          <w:bCs w:val="0"/>
        </w:rPr>
        <w:t>“1</w:t>
      </w:r>
      <w:r>
        <w:rPr>
          <w:rFonts w:cs="Times New Roman"/>
          <w:bCs w:val="0"/>
        </w:rPr>
        <w:t>、依照相关法律、法规及公司章程的有关规定行使股东权利，本人</w:t>
      </w:r>
      <w:r>
        <w:rPr>
          <w:rFonts w:cs="Times New Roman"/>
          <w:bCs w:val="0"/>
        </w:rPr>
        <w:t>/</w:t>
      </w:r>
      <w:r>
        <w:rPr>
          <w:rFonts w:cs="Times New Roman"/>
          <w:bCs w:val="0"/>
        </w:rPr>
        <w:t>本企业承诺不越权干预公司经营管理活动，不侵占公司利益。</w:t>
      </w:r>
    </w:p>
    <w:p w14:paraId="21C550B0" w14:textId="77777777" w:rsidR="00CE75D3" w:rsidRDefault="00000000">
      <w:pPr>
        <w:adjustRightInd/>
        <w:snapToGrid/>
        <w:spacing w:before="156" w:afterLines="0" w:after="0"/>
        <w:ind w:firstLine="480"/>
        <w:rPr>
          <w:rFonts w:cs="Times New Roman"/>
          <w:bCs w:val="0"/>
        </w:rPr>
      </w:pPr>
      <w:r>
        <w:rPr>
          <w:rFonts w:cs="Times New Roman"/>
          <w:bCs w:val="0"/>
        </w:rPr>
        <w:t>2</w:t>
      </w:r>
      <w:r>
        <w:rPr>
          <w:rFonts w:cs="Times New Roman"/>
          <w:bCs w:val="0"/>
        </w:rPr>
        <w:t>、本人</w:t>
      </w:r>
      <w:r>
        <w:rPr>
          <w:rFonts w:cs="Times New Roman"/>
          <w:bCs w:val="0"/>
        </w:rPr>
        <w:t>/</w:t>
      </w:r>
      <w:r>
        <w:rPr>
          <w:rFonts w:cs="Times New Roman"/>
          <w:bCs w:val="0"/>
        </w:rPr>
        <w:t>本企业承诺切实履行公司制定的有关填补回报的相关措施以及本人</w:t>
      </w:r>
      <w:r>
        <w:rPr>
          <w:rFonts w:cs="Times New Roman"/>
          <w:bCs w:val="0"/>
        </w:rPr>
        <w:t>/</w:t>
      </w:r>
      <w:r>
        <w:rPr>
          <w:rFonts w:cs="Times New Roman"/>
          <w:bCs w:val="0"/>
        </w:rPr>
        <w:t>本企业对此作出的任何有关填补回报措施的承诺，若本人</w:t>
      </w:r>
      <w:r>
        <w:rPr>
          <w:rFonts w:cs="Times New Roman"/>
          <w:bCs w:val="0"/>
        </w:rPr>
        <w:t>/</w:t>
      </w:r>
      <w:r>
        <w:rPr>
          <w:rFonts w:cs="Times New Roman"/>
          <w:bCs w:val="0"/>
        </w:rPr>
        <w:t>本企业违反该等承诺并给公司或者投资者造成损失的，本人</w:t>
      </w:r>
      <w:r>
        <w:rPr>
          <w:rFonts w:cs="Times New Roman"/>
          <w:bCs w:val="0"/>
        </w:rPr>
        <w:t>/</w:t>
      </w:r>
      <w:r>
        <w:rPr>
          <w:rFonts w:cs="Times New Roman"/>
          <w:bCs w:val="0"/>
        </w:rPr>
        <w:t>本企业愿意依法承担对公司或者投资者的补偿责任。</w:t>
      </w:r>
    </w:p>
    <w:p w14:paraId="29B54535" w14:textId="77777777" w:rsidR="00CE75D3" w:rsidRDefault="00000000">
      <w:pPr>
        <w:adjustRightInd/>
        <w:snapToGrid/>
        <w:spacing w:before="156" w:afterLines="0" w:after="0"/>
        <w:ind w:firstLine="480"/>
        <w:rPr>
          <w:rFonts w:cs="Times New Roman"/>
          <w:bCs w:val="0"/>
        </w:rPr>
      </w:pPr>
      <w:r>
        <w:rPr>
          <w:rFonts w:cs="Times New Roman"/>
          <w:bCs w:val="0"/>
        </w:rPr>
        <w:t>3</w:t>
      </w:r>
      <w:r>
        <w:rPr>
          <w:rFonts w:cs="Times New Roman"/>
          <w:bCs w:val="0"/>
        </w:rPr>
        <w:t>、自本承诺出具日至公司本次向特定对象发行</w:t>
      </w:r>
      <w:r>
        <w:rPr>
          <w:rFonts w:cs="Times New Roman"/>
          <w:bCs w:val="0"/>
        </w:rPr>
        <w:t>A</w:t>
      </w:r>
      <w:r>
        <w:rPr>
          <w:rFonts w:cs="Times New Roman"/>
          <w:bCs w:val="0"/>
        </w:rPr>
        <w:t>股股票实施完毕前，若中国证券监督管理委员会和深圳证券交易所等证券监管机构作出关于填补回报措施及其承诺的其他新的监管规定的，且上述承诺不能满足该等规定时，本人</w:t>
      </w:r>
      <w:r>
        <w:rPr>
          <w:rFonts w:cs="Times New Roman"/>
          <w:bCs w:val="0"/>
        </w:rPr>
        <w:t>/</w:t>
      </w:r>
      <w:r>
        <w:rPr>
          <w:rFonts w:cs="Times New Roman"/>
          <w:bCs w:val="0"/>
        </w:rPr>
        <w:t>本企业承诺届时将按照中国证券监督管理委员会和深圳证券交易所等证券监管机构的最新规定出具补充承诺。</w:t>
      </w:r>
    </w:p>
    <w:p w14:paraId="2A2CD0DB" w14:textId="77777777" w:rsidR="00CE75D3" w:rsidRDefault="00000000">
      <w:pPr>
        <w:adjustRightInd/>
        <w:snapToGrid/>
        <w:spacing w:before="156" w:afterLines="0" w:after="0"/>
        <w:ind w:firstLine="480"/>
        <w:rPr>
          <w:rFonts w:cs="Times New Roman"/>
          <w:bCs w:val="0"/>
        </w:rPr>
      </w:pPr>
      <w:r>
        <w:rPr>
          <w:rFonts w:cs="Times New Roman"/>
          <w:bCs w:val="0"/>
        </w:rPr>
        <w:t>作为填补回报措施相关责任主体之一，若违反上述承诺或拒不履行上述承诺，本人</w:t>
      </w:r>
      <w:r>
        <w:rPr>
          <w:rFonts w:cs="Times New Roman"/>
          <w:bCs w:val="0"/>
        </w:rPr>
        <w:t>/</w:t>
      </w:r>
      <w:r>
        <w:rPr>
          <w:rFonts w:cs="Times New Roman"/>
          <w:bCs w:val="0"/>
        </w:rPr>
        <w:t>本企业同意接受中国证券监督管理委员会和深圳证券交易所等证券监管机构按照其制定或发布的有关规定、规则，对本人</w:t>
      </w:r>
      <w:r>
        <w:rPr>
          <w:rFonts w:cs="Times New Roman"/>
          <w:bCs w:val="0"/>
        </w:rPr>
        <w:t>/</w:t>
      </w:r>
      <w:r>
        <w:rPr>
          <w:rFonts w:cs="Times New Roman"/>
          <w:bCs w:val="0"/>
        </w:rPr>
        <w:t>本企业作出相关处罚或采取相关管理措施。</w:t>
      </w:r>
      <w:r>
        <w:rPr>
          <w:rFonts w:cs="Times New Roman"/>
          <w:bCs w:val="0"/>
        </w:rPr>
        <w:t>”</w:t>
      </w:r>
    </w:p>
    <w:p w14:paraId="145529CB" w14:textId="77777777" w:rsidR="00CE75D3" w:rsidRDefault="00CE75D3">
      <w:pPr>
        <w:spacing w:before="156" w:after="156"/>
        <w:ind w:firstLine="480"/>
        <w:rPr>
          <w:rFonts w:cs="Times New Roman"/>
          <w:bCs w:val="0"/>
        </w:rPr>
      </w:pPr>
    </w:p>
    <w:p w14:paraId="2231081F" w14:textId="77777777" w:rsidR="00CE75D3" w:rsidRDefault="00000000">
      <w:pPr>
        <w:spacing w:before="156" w:after="156"/>
        <w:ind w:firstLine="480"/>
        <w:jc w:val="right"/>
        <w:rPr>
          <w:rFonts w:cs="Times New Roman"/>
          <w:bCs w:val="0"/>
        </w:rPr>
      </w:pPr>
      <w:bookmarkStart w:id="3" w:name="_Hlk33993120"/>
      <w:r>
        <w:rPr>
          <w:rFonts w:cs="Times New Roman"/>
        </w:rPr>
        <w:t>福建广生堂药业股份有限公司</w:t>
      </w:r>
      <w:r>
        <w:rPr>
          <w:rFonts w:cs="Times New Roman"/>
          <w:bCs w:val="0"/>
        </w:rPr>
        <w:t>董事会</w:t>
      </w:r>
    </w:p>
    <w:p w14:paraId="4E1149A7" w14:textId="77777777" w:rsidR="00CE75D3" w:rsidRDefault="00000000">
      <w:pPr>
        <w:spacing w:before="156" w:after="156"/>
        <w:ind w:firstLine="480"/>
        <w:jc w:val="right"/>
        <w:rPr>
          <w:rFonts w:cs="Times New Roman"/>
          <w:bCs w:val="0"/>
        </w:rPr>
      </w:pPr>
      <w:r>
        <w:rPr>
          <w:rFonts w:cs="Times New Roman"/>
          <w:bCs w:val="0"/>
        </w:rPr>
        <w:t>2025</w:t>
      </w:r>
      <w:r>
        <w:rPr>
          <w:rFonts w:cs="Times New Roman"/>
          <w:bCs w:val="0"/>
        </w:rPr>
        <w:t>年</w:t>
      </w:r>
      <w:r>
        <w:rPr>
          <w:rFonts w:cs="Times New Roman"/>
          <w:bCs w:val="0"/>
        </w:rPr>
        <w:t>4</w:t>
      </w:r>
      <w:r>
        <w:rPr>
          <w:rFonts w:cs="Times New Roman"/>
          <w:bCs w:val="0"/>
        </w:rPr>
        <w:t>月</w:t>
      </w:r>
      <w:r>
        <w:rPr>
          <w:rFonts w:cs="Times New Roman" w:hint="eastAsia"/>
          <w:bCs w:val="0"/>
        </w:rPr>
        <w:t>2</w:t>
      </w:r>
      <w:r>
        <w:rPr>
          <w:rFonts w:cs="Times New Roman"/>
          <w:bCs w:val="0"/>
        </w:rPr>
        <w:t>日</w:t>
      </w:r>
      <w:bookmarkEnd w:id="3"/>
    </w:p>
    <w:sectPr w:rsidR="00CE75D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B1FBB" w14:textId="77777777" w:rsidR="006F10E3" w:rsidRDefault="006F10E3">
      <w:pPr>
        <w:spacing w:before="120" w:after="120" w:line="240" w:lineRule="auto"/>
        <w:ind w:firstLine="480"/>
      </w:pPr>
      <w:r>
        <w:separator/>
      </w:r>
    </w:p>
  </w:endnote>
  <w:endnote w:type="continuationSeparator" w:id="0">
    <w:p w14:paraId="3455E81A" w14:textId="77777777" w:rsidR="006F10E3" w:rsidRDefault="006F10E3">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02A1" w14:textId="77777777" w:rsidR="00CE75D3" w:rsidRDefault="00CE75D3">
    <w:pPr>
      <w:pStyle w:val="a8"/>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338114"/>
    </w:sdtPr>
    <w:sdtContent>
      <w:p w14:paraId="69DEFDD9" w14:textId="77777777" w:rsidR="00CE75D3" w:rsidRDefault="00000000">
        <w:pPr>
          <w:pStyle w:val="a8"/>
          <w:spacing w:before="120" w:after="120"/>
          <w:ind w:firstLine="36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3AB3" w14:textId="77777777" w:rsidR="00CE75D3" w:rsidRDefault="00CE75D3">
    <w:pPr>
      <w:pStyle w:val="a8"/>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94F66" w14:textId="77777777" w:rsidR="006F10E3" w:rsidRDefault="006F10E3">
      <w:pPr>
        <w:spacing w:before="120" w:after="120"/>
        <w:ind w:firstLine="480"/>
      </w:pPr>
      <w:r>
        <w:separator/>
      </w:r>
    </w:p>
  </w:footnote>
  <w:footnote w:type="continuationSeparator" w:id="0">
    <w:p w14:paraId="5AADBBE6" w14:textId="77777777" w:rsidR="006F10E3" w:rsidRDefault="006F10E3">
      <w:pPr>
        <w:spacing w:before="120" w:after="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F480" w14:textId="77777777" w:rsidR="00CE75D3" w:rsidRDefault="00CE75D3">
    <w:pPr>
      <w:pStyle w:val="aa"/>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0975" w14:textId="59A645F0" w:rsidR="00CE75D3" w:rsidRDefault="00DB0969">
    <w:pPr>
      <w:pStyle w:val="aa"/>
      <w:pBdr>
        <w:bottom w:val="none" w:sz="0" w:space="0" w:color="auto"/>
      </w:pBdr>
      <w:spacing w:before="120" w:after="120"/>
      <w:ind w:firstLine="360"/>
    </w:pPr>
    <w:r>
      <w:rPr>
        <w:noProof/>
      </w:rPr>
      <w:pict w14:anchorId="4BB2B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9298" o:spid="_x0000_s1025" type="#_x0000_t75" style="position:absolute;left:0;text-align:left;margin-left:0;margin-top:0;width:595.2pt;height:841.9pt;z-index:-251658240;mso-wrap-style:square;mso-position-horizontal:center;mso-position-horizontal-relative:margin;mso-position-vertical:center;mso-position-vertical-relative:margin" o:allowincell="f">
          <v:imagedata r:id="rId1" o:title="通用信笺底板201402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1361" w14:textId="77777777" w:rsidR="00CE75D3" w:rsidRDefault="00CE75D3">
    <w:pPr>
      <w:pStyle w:val="aa"/>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hkNjBmNmRlZWNlNWJhMDQ2Yjk4MzRiMGNiODIzMjMifQ=="/>
  </w:docVars>
  <w:rsids>
    <w:rsidRoot w:val="00172A27"/>
    <w:rsid w:val="00000BF9"/>
    <w:rsid w:val="00005E55"/>
    <w:rsid w:val="0000706E"/>
    <w:rsid w:val="00007246"/>
    <w:rsid w:val="000140E2"/>
    <w:rsid w:val="00016104"/>
    <w:rsid w:val="00017DD0"/>
    <w:rsid w:val="00020BDE"/>
    <w:rsid w:val="00035BCE"/>
    <w:rsid w:val="00043810"/>
    <w:rsid w:val="0005370C"/>
    <w:rsid w:val="000568D3"/>
    <w:rsid w:val="00063213"/>
    <w:rsid w:val="000643BF"/>
    <w:rsid w:val="0006629B"/>
    <w:rsid w:val="00073CEA"/>
    <w:rsid w:val="000764E9"/>
    <w:rsid w:val="00092269"/>
    <w:rsid w:val="000A2B4C"/>
    <w:rsid w:val="000A3894"/>
    <w:rsid w:val="000C57AE"/>
    <w:rsid w:val="000D17E4"/>
    <w:rsid w:val="000D3A46"/>
    <w:rsid w:val="000D57EE"/>
    <w:rsid w:val="000E6834"/>
    <w:rsid w:val="000F68CF"/>
    <w:rsid w:val="000F70AB"/>
    <w:rsid w:val="000F730B"/>
    <w:rsid w:val="00105290"/>
    <w:rsid w:val="001063C0"/>
    <w:rsid w:val="00117FCA"/>
    <w:rsid w:val="00135CD3"/>
    <w:rsid w:val="00141160"/>
    <w:rsid w:val="00146450"/>
    <w:rsid w:val="00151B24"/>
    <w:rsid w:val="00154211"/>
    <w:rsid w:val="00157FCA"/>
    <w:rsid w:val="00170023"/>
    <w:rsid w:val="00172A27"/>
    <w:rsid w:val="00173954"/>
    <w:rsid w:val="00175037"/>
    <w:rsid w:val="00180570"/>
    <w:rsid w:val="00180D08"/>
    <w:rsid w:val="001A5CE2"/>
    <w:rsid w:val="001B2B74"/>
    <w:rsid w:val="001B3F7C"/>
    <w:rsid w:val="001C2438"/>
    <w:rsid w:val="001C3DEF"/>
    <w:rsid w:val="001D0D74"/>
    <w:rsid w:val="001D6BD1"/>
    <w:rsid w:val="001D7785"/>
    <w:rsid w:val="001E54AB"/>
    <w:rsid w:val="001F6B80"/>
    <w:rsid w:val="0022054F"/>
    <w:rsid w:val="0023768F"/>
    <w:rsid w:val="00245DB8"/>
    <w:rsid w:val="00251C9D"/>
    <w:rsid w:val="00253740"/>
    <w:rsid w:val="00253862"/>
    <w:rsid w:val="002553A1"/>
    <w:rsid w:val="00260A06"/>
    <w:rsid w:val="002812D7"/>
    <w:rsid w:val="00291BD4"/>
    <w:rsid w:val="002A25B6"/>
    <w:rsid w:val="002B23DF"/>
    <w:rsid w:val="002B6465"/>
    <w:rsid w:val="002B6D43"/>
    <w:rsid w:val="002C2D8E"/>
    <w:rsid w:val="002C70FB"/>
    <w:rsid w:val="002C74D9"/>
    <w:rsid w:val="002E07B5"/>
    <w:rsid w:val="002E49A3"/>
    <w:rsid w:val="00327501"/>
    <w:rsid w:val="00335ABF"/>
    <w:rsid w:val="0035031B"/>
    <w:rsid w:val="00352BF5"/>
    <w:rsid w:val="00357EB1"/>
    <w:rsid w:val="0038092C"/>
    <w:rsid w:val="00380946"/>
    <w:rsid w:val="003866D6"/>
    <w:rsid w:val="0039465F"/>
    <w:rsid w:val="00395F17"/>
    <w:rsid w:val="0039748A"/>
    <w:rsid w:val="003A376C"/>
    <w:rsid w:val="003A667D"/>
    <w:rsid w:val="003B6C5F"/>
    <w:rsid w:val="003C19CF"/>
    <w:rsid w:val="003C5469"/>
    <w:rsid w:val="00414DB5"/>
    <w:rsid w:val="00421A94"/>
    <w:rsid w:val="00425A95"/>
    <w:rsid w:val="0044620A"/>
    <w:rsid w:val="0045400A"/>
    <w:rsid w:val="00455471"/>
    <w:rsid w:val="004644BD"/>
    <w:rsid w:val="00471465"/>
    <w:rsid w:val="004822E7"/>
    <w:rsid w:val="004A70C4"/>
    <w:rsid w:val="004B1AD2"/>
    <w:rsid w:val="004C236F"/>
    <w:rsid w:val="004D05A8"/>
    <w:rsid w:val="004D284A"/>
    <w:rsid w:val="00505605"/>
    <w:rsid w:val="00506AF3"/>
    <w:rsid w:val="00517AD0"/>
    <w:rsid w:val="005235E1"/>
    <w:rsid w:val="00532D94"/>
    <w:rsid w:val="005414D8"/>
    <w:rsid w:val="00541F11"/>
    <w:rsid w:val="005437F7"/>
    <w:rsid w:val="00543FF2"/>
    <w:rsid w:val="00545C79"/>
    <w:rsid w:val="0054686B"/>
    <w:rsid w:val="0054758E"/>
    <w:rsid w:val="00554C56"/>
    <w:rsid w:val="005613BA"/>
    <w:rsid w:val="00562861"/>
    <w:rsid w:val="00563C41"/>
    <w:rsid w:val="00571D0F"/>
    <w:rsid w:val="005748A3"/>
    <w:rsid w:val="00580FF4"/>
    <w:rsid w:val="0059172A"/>
    <w:rsid w:val="005924B2"/>
    <w:rsid w:val="005B2489"/>
    <w:rsid w:val="005C3421"/>
    <w:rsid w:val="005C52EE"/>
    <w:rsid w:val="005E1828"/>
    <w:rsid w:val="005E74AF"/>
    <w:rsid w:val="00600425"/>
    <w:rsid w:val="006128A4"/>
    <w:rsid w:val="006138A7"/>
    <w:rsid w:val="00620083"/>
    <w:rsid w:val="006274F5"/>
    <w:rsid w:val="00627AE1"/>
    <w:rsid w:val="006329E0"/>
    <w:rsid w:val="006340AB"/>
    <w:rsid w:val="00635EC5"/>
    <w:rsid w:val="006425AD"/>
    <w:rsid w:val="00655DDF"/>
    <w:rsid w:val="0066227C"/>
    <w:rsid w:val="00672113"/>
    <w:rsid w:val="006734FE"/>
    <w:rsid w:val="00675BB3"/>
    <w:rsid w:val="00686255"/>
    <w:rsid w:val="00690618"/>
    <w:rsid w:val="00690DA8"/>
    <w:rsid w:val="00691EE7"/>
    <w:rsid w:val="00694E33"/>
    <w:rsid w:val="00695E6F"/>
    <w:rsid w:val="00697E30"/>
    <w:rsid w:val="006A0316"/>
    <w:rsid w:val="006D230D"/>
    <w:rsid w:val="006D40FB"/>
    <w:rsid w:val="006F10E3"/>
    <w:rsid w:val="006F536A"/>
    <w:rsid w:val="00702BC2"/>
    <w:rsid w:val="00703177"/>
    <w:rsid w:val="00710C26"/>
    <w:rsid w:val="00734081"/>
    <w:rsid w:val="00734AB3"/>
    <w:rsid w:val="0073547C"/>
    <w:rsid w:val="00736AC0"/>
    <w:rsid w:val="00736ECD"/>
    <w:rsid w:val="00740B5D"/>
    <w:rsid w:val="00742459"/>
    <w:rsid w:val="00745EE5"/>
    <w:rsid w:val="0075112A"/>
    <w:rsid w:val="0075543A"/>
    <w:rsid w:val="00756396"/>
    <w:rsid w:val="0077243A"/>
    <w:rsid w:val="00787FF3"/>
    <w:rsid w:val="007925B7"/>
    <w:rsid w:val="007976C1"/>
    <w:rsid w:val="007C170D"/>
    <w:rsid w:val="007C2985"/>
    <w:rsid w:val="007C5352"/>
    <w:rsid w:val="007D1420"/>
    <w:rsid w:val="007E4D17"/>
    <w:rsid w:val="00805B9D"/>
    <w:rsid w:val="00807397"/>
    <w:rsid w:val="008170AC"/>
    <w:rsid w:val="00822BD4"/>
    <w:rsid w:val="0083632F"/>
    <w:rsid w:val="008406CC"/>
    <w:rsid w:val="0084353A"/>
    <w:rsid w:val="0086169F"/>
    <w:rsid w:val="00864691"/>
    <w:rsid w:val="00872B52"/>
    <w:rsid w:val="008739D0"/>
    <w:rsid w:val="008750F3"/>
    <w:rsid w:val="00875C9B"/>
    <w:rsid w:val="008813DA"/>
    <w:rsid w:val="008B7FE0"/>
    <w:rsid w:val="008C1A28"/>
    <w:rsid w:val="008C251E"/>
    <w:rsid w:val="008D306A"/>
    <w:rsid w:val="008D71AE"/>
    <w:rsid w:val="008E1EDE"/>
    <w:rsid w:val="008E417F"/>
    <w:rsid w:val="008E732A"/>
    <w:rsid w:val="008F5233"/>
    <w:rsid w:val="00904698"/>
    <w:rsid w:val="00922DA4"/>
    <w:rsid w:val="00934322"/>
    <w:rsid w:val="00936CFA"/>
    <w:rsid w:val="0094252C"/>
    <w:rsid w:val="00946798"/>
    <w:rsid w:val="009468C5"/>
    <w:rsid w:val="0095017E"/>
    <w:rsid w:val="0095172F"/>
    <w:rsid w:val="0095400C"/>
    <w:rsid w:val="009577B5"/>
    <w:rsid w:val="0096159A"/>
    <w:rsid w:val="009624BA"/>
    <w:rsid w:val="00962E75"/>
    <w:rsid w:val="00966524"/>
    <w:rsid w:val="00970609"/>
    <w:rsid w:val="00976C05"/>
    <w:rsid w:val="00981281"/>
    <w:rsid w:val="00983186"/>
    <w:rsid w:val="009A17EC"/>
    <w:rsid w:val="009A2F82"/>
    <w:rsid w:val="009B1CCD"/>
    <w:rsid w:val="009B5E29"/>
    <w:rsid w:val="009C5543"/>
    <w:rsid w:val="009C7F0F"/>
    <w:rsid w:val="009D6F75"/>
    <w:rsid w:val="00A019CC"/>
    <w:rsid w:val="00A0314D"/>
    <w:rsid w:val="00A051D8"/>
    <w:rsid w:val="00A27D05"/>
    <w:rsid w:val="00A52EA8"/>
    <w:rsid w:val="00A55A2A"/>
    <w:rsid w:val="00A56C66"/>
    <w:rsid w:val="00A61BE3"/>
    <w:rsid w:val="00A70458"/>
    <w:rsid w:val="00A868CE"/>
    <w:rsid w:val="00A92F60"/>
    <w:rsid w:val="00A93E7C"/>
    <w:rsid w:val="00A97644"/>
    <w:rsid w:val="00AA23B1"/>
    <w:rsid w:val="00AA3285"/>
    <w:rsid w:val="00AB759E"/>
    <w:rsid w:val="00AC1733"/>
    <w:rsid w:val="00AE23EC"/>
    <w:rsid w:val="00AE26E0"/>
    <w:rsid w:val="00AE2726"/>
    <w:rsid w:val="00AE2AA3"/>
    <w:rsid w:val="00AE3BD9"/>
    <w:rsid w:val="00AF259E"/>
    <w:rsid w:val="00AF3F56"/>
    <w:rsid w:val="00B07BEC"/>
    <w:rsid w:val="00B22586"/>
    <w:rsid w:val="00B22DD8"/>
    <w:rsid w:val="00B24A8E"/>
    <w:rsid w:val="00B30578"/>
    <w:rsid w:val="00B30DDC"/>
    <w:rsid w:val="00B310A7"/>
    <w:rsid w:val="00B52CCC"/>
    <w:rsid w:val="00B67B26"/>
    <w:rsid w:val="00B772C1"/>
    <w:rsid w:val="00B81588"/>
    <w:rsid w:val="00B835BD"/>
    <w:rsid w:val="00B87109"/>
    <w:rsid w:val="00B90663"/>
    <w:rsid w:val="00B93FFE"/>
    <w:rsid w:val="00BA1472"/>
    <w:rsid w:val="00BA1DAF"/>
    <w:rsid w:val="00BA72AE"/>
    <w:rsid w:val="00BA73CE"/>
    <w:rsid w:val="00BC1752"/>
    <w:rsid w:val="00BC5AA2"/>
    <w:rsid w:val="00BD3539"/>
    <w:rsid w:val="00BE6CBA"/>
    <w:rsid w:val="00BF55F5"/>
    <w:rsid w:val="00C063A0"/>
    <w:rsid w:val="00C272D6"/>
    <w:rsid w:val="00C50CED"/>
    <w:rsid w:val="00C64316"/>
    <w:rsid w:val="00C64796"/>
    <w:rsid w:val="00C73231"/>
    <w:rsid w:val="00C73677"/>
    <w:rsid w:val="00C76CF4"/>
    <w:rsid w:val="00C8211E"/>
    <w:rsid w:val="00C870FE"/>
    <w:rsid w:val="00C9387D"/>
    <w:rsid w:val="00CA6D2F"/>
    <w:rsid w:val="00CB1D38"/>
    <w:rsid w:val="00CB4EB7"/>
    <w:rsid w:val="00CB5EEC"/>
    <w:rsid w:val="00CB6A5D"/>
    <w:rsid w:val="00CC213B"/>
    <w:rsid w:val="00CC6E01"/>
    <w:rsid w:val="00CD45E6"/>
    <w:rsid w:val="00CD7AEA"/>
    <w:rsid w:val="00CE0DAE"/>
    <w:rsid w:val="00CE6539"/>
    <w:rsid w:val="00CE75D3"/>
    <w:rsid w:val="00CE7D21"/>
    <w:rsid w:val="00D13A53"/>
    <w:rsid w:val="00D14228"/>
    <w:rsid w:val="00D17F9D"/>
    <w:rsid w:val="00D443B2"/>
    <w:rsid w:val="00D50CD6"/>
    <w:rsid w:val="00D62E8B"/>
    <w:rsid w:val="00D635C5"/>
    <w:rsid w:val="00D65221"/>
    <w:rsid w:val="00D731AF"/>
    <w:rsid w:val="00D73697"/>
    <w:rsid w:val="00D81AA6"/>
    <w:rsid w:val="00D922B8"/>
    <w:rsid w:val="00D96A76"/>
    <w:rsid w:val="00DA1400"/>
    <w:rsid w:val="00DA4043"/>
    <w:rsid w:val="00DA4B6B"/>
    <w:rsid w:val="00DB0969"/>
    <w:rsid w:val="00DB391F"/>
    <w:rsid w:val="00DB4002"/>
    <w:rsid w:val="00DB5B4B"/>
    <w:rsid w:val="00DC14B2"/>
    <w:rsid w:val="00DD0718"/>
    <w:rsid w:val="00DD1917"/>
    <w:rsid w:val="00DD2C66"/>
    <w:rsid w:val="00DD3C47"/>
    <w:rsid w:val="00DD478F"/>
    <w:rsid w:val="00DD57E4"/>
    <w:rsid w:val="00DE5134"/>
    <w:rsid w:val="00DE5B1E"/>
    <w:rsid w:val="00DF3A2F"/>
    <w:rsid w:val="00E0248A"/>
    <w:rsid w:val="00E04773"/>
    <w:rsid w:val="00E10978"/>
    <w:rsid w:val="00E14695"/>
    <w:rsid w:val="00E1691E"/>
    <w:rsid w:val="00E20A23"/>
    <w:rsid w:val="00E26354"/>
    <w:rsid w:val="00E325BF"/>
    <w:rsid w:val="00E34424"/>
    <w:rsid w:val="00E36585"/>
    <w:rsid w:val="00E446DF"/>
    <w:rsid w:val="00E449EC"/>
    <w:rsid w:val="00E61C6D"/>
    <w:rsid w:val="00E62E66"/>
    <w:rsid w:val="00E64E0A"/>
    <w:rsid w:val="00E651C7"/>
    <w:rsid w:val="00E65C63"/>
    <w:rsid w:val="00E76238"/>
    <w:rsid w:val="00E8130F"/>
    <w:rsid w:val="00E973A7"/>
    <w:rsid w:val="00EB68F1"/>
    <w:rsid w:val="00EC28E1"/>
    <w:rsid w:val="00EC361F"/>
    <w:rsid w:val="00ED069A"/>
    <w:rsid w:val="00ED644F"/>
    <w:rsid w:val="00F1611E"/>
    <w:rsid w:val="00F22C34"/>
    <w:rsid w:val="00F235C5"/>
    <w:rsid w:val="00F27514"/>
    <w:rsid w:val="00F30C2D"/>
    <w:rsid w:val="00F34370"/>
    <w:rsid w:val="00F362C6"/>
    <w:rsid w:val="00F3684A"/>
    <w:rsid w:val="00F37019"/>
    <w:rsid w:val="00F413C1"/>
    <w:rsid w:val="00F4442A"/>
    <w:rsid w:val="00F56A18"/>
    <w:rsid w:val="00F5709E"/>
    <w:rsid w:val="00F62572"/>
    <w:rsid w:val="00F62987"/>
    <w:rsid w:val="00F67015"/>
    <w:rsid w:val="00F75FD3"/>
    <w:rsid w:val="00F82741"/>
    <w:rsid w:val="00F85F71"/>
    <w:rsid w:val="00F93B89"/>
    <w:rsid w:val="00F93FCE"/>
    <w:rsid w:val="00F943CD"/>
    <w:rsid w:val="00F94AFA"/>
    <w:rsid w:val="00F96F2A"/>
    <w:rsid w:val="00FA14E4"/>
    <w:rsid w:val="00FA46D1"/>
    <w:rsid w:val="00FB4EC8"/>
    <w:rsid w:val="00FB5651"/>
    <w:rsid w:val="00FD0137"/>
    <w:rsid w:val="053109CC"/>
    <w:rsid w:val="081608A9"/>
    <w:rsid w:val="0FAB0273"/>
    <w:rsid w:val="130567E3"/>
    <w:rsid w:val="1AB12AB3"/>
    <w:rsid w:val="23F114E2"/>
    <w:rsid w:val="261660D6"/>
    <w:rsid w:val="27CB73FA"/>
    <w:rsid w:val="28163EA5"/>
    <w:rsid w:val="339C68AB"/>
    <w:rsid w:val="3A521DB6"/>
    <w:rsid w:val="3D424F53"/>
    <w:rsid w:val="3E995074"/>
    <w:rsid w:val="440E09FC"/>
    <w:rsid w:val="468B7148"/>
    <w:rsid w:val="4C725E58"/>
    <w:rsid w:val="52C21858"/>
    <w:rsid w:val="53FA74B5"/>
    <w:rsid w:val="60022E07"/>
    <w:rsid w:val="6424514D"/>
    <w:rsid w:val="6A1F5A2C"/>
    <w:rsid w:val="6AED175B"/>
    <w:rsid w:val="6F486174"/>
    <w:rsid w:val="71695F16"/>
    <w:rsid w:val="76350BE4"/>
    <w:rsid w:val="784A7B1B"/>
    <w:rsid w:val="78561C38"/>
    <w:rsid w:val="78D62A07"/>
    <w:rsid w:val="7CC3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E93F01"/>
  <w15:docId w15:val="{C939CC7A-71C4-4C6F-973E-FD5101A5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napToGrid w:val="0"/>
      <w:spacing w:beforeLines="50" w:before="50" w:afterLines="50" w:after="50" w:line="360" w:lineRule="auto"/>
      <w:ind w:firstLineChars="200" w:firstLine="200"/>
      <w:jc w:val="both"/>
    </w:pPr>
    <w:rPr>
      <w:rFonts w:cs="Arial"/>
      <w:bCs/>
      <w:kern w:val="2"/>
      <w:sz w:val="24"/>
      <w:szCs w:val="22"/>
    </w:rPr>
  </w:style>
  <w:style w:type="paragraph" w:styleId="1">
    <w:name w:val="heading 1"/>
    <w:basedOn w:val="a"/>
    <w:next w:val="a"/>
    <w:link w:val="10"/>
    <w:uiPriority w:val="9"/>
    <w:qFormat/>
    <w:pPr>
      <w:keepNext/>
      <w:keepLines/>
      <w:outlineLvl w:val="0"/>
    </w:pPr>
    <w:rPr>
      <w:b/>
      <w:bCs w:val="0"/>
      <w:kern w:val="44"/>
      <w:szCs w:val="44"/>
    </w:rPr>
  </w:style>
  <w:style w:type="paragraph" w:styleId="2">
    <w:name w:val="heading 2"/>
    <w:basedOn w:val="a"/>
    <w:next w:val="a"/>
    <w:link w:val="20"/>
    <w:uiPriority w:val="9"/>
    <w:unhideWhenUsed/>
    <w:qFormat/>
    <w:pPr>
      <w:keepNext/>
      <w:keepLines/>
      <w:spacing w:before="156" w:after="156"/>
      <w:ind w:firstLine="480"/>
      <w:outlineLvl w:val="1"/>
    </w:pPr>
    <w:rPr>
      <w:rFonts w:cstheme="majorBidi"/>
      <w:b/>
      <w:bCs w:val="0"/>
      <w:szCs w:val="32"/>
    </w:rPr>
  </w:style>
  <w:style w:type="paragraph" w:styleId="3">
    <w:name w:val="heading 3"/>
    <w:basedOn w:val="a"/>
    <w:next w:val="a"/>
    <w:link w:val="30"/>
    <w:uiPriority w:val="9"/>
    <w:unhideWhenUsed/>
    <w:qFormat/>
    <w:pPr>
      <w:keepNext/>
      <w:keepLines/>
      <w:snapToGrid/>
      <w:outlineLvl w:val="2"/>
    </w:pPr>
    <w:rPr>
      <w:b/>
      <w:bCs w:val="0"/>
      <w:szCs w:val="32"/>
    </w:rPr>
  </w:style>
  <w:style w:type="paragraph" w:styleId="4">
    <w:name w:val="heading 4"/>
    <w:basedOn w:val="a"/>
    <w:next w:val="a"/>
    <w:link w:val="40"/>
    <w:uiPriority w:val="9"/>
    <w:unhideWhenUsed/>
    <w:qFormat/>
    <w:pPr>
      <w:keepNext/>
      <w:keepLines/>
      <w:outlineLvl w:val="3"/>
    </w:pPr>
    <w:rPr>
      <w:rFonts w:cstheme="majorBidi"/>
      <w:b/>
      <w:bCs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uiPriority w:val="1"/>
    <w:qFormat/>
    <w:pPr>
      <w:ind w:left="220"/>
    </w:pPr>
    <w:rPr>
      <w:szCs w:val="24"/>
    </w:rPr>
  </w:style>
  <w:style w:type="paragraph" w:styleId="a6">
    <w:name w:val="Balloon Text"/>
    <w:basedOn w:val="a"/>
    <w:link w:val="a7"/>
    <w:uiPriority w:val="99"/>
    <w:semiHidden/>
    <w:unhideWhenUsed/>
    <w:qFormat/>
    <w:pPr>
      <w:spacing w:before="0" w:after="0" w:line="240" w:lineRule="auto"/>
    </w:pPr>
    <w:rPr>
      <w:sz w:val="18"/>
      <w:szCs w:val="18"/>
    </w:rPr>
  </w:style>
  <w:style w:type="paragraph" w:styleId="a8">
    <w:name w:val="footer"/>
    <w:basedOn w:val="a"/>
    <w:link w:val="a9"/>
    <w:uiPriority w:val="99"/>
    <w:unhideWhenUsed/>
    <w:qFormat/>
    <w:pPr>
      <w:tabs>
        <w:tab w:val="center" w:pos="4513"/>
        <w:tab w:val="right" w:pos="9026"/>
      </w:tabs>
      <w:spacing w:line="240" w:lineRule="auto"/>
      <w:jc w:val="left"/>
    </w:pPr>
    <w:rPr>
      <w:sz w:val="18"/>
      <w:szCs w:val="18"/>
    </w:rPr>
  </w:style>
  <w:style w:type="paragraph" w:styleId="aa">
    <w:name w:val="header"/>
    <w:basedOn w:val="a"/>
    <w:link w:val="ab"/>
    <w:uiPriority w:val="99"/>
    <w:unhideWhenUsed/>
    <w:qFormat/>
    <w:pPr>
      <w:pBdr>
        <w:bottom w:val="single" w:sz="6" w:space="1" w:color="auto"/>
      </w:pBdr>
      <w:tabs>
        <w:tab w:val="center" w:pos="4513"/>
        <w:tab w:val="right" w:pos="9026"/>
      </w:tabs>
      <w:spacing w:line="240" w:lineRule="auto"/>
      <w:jc w:val="center"/>
    </w:pPr>
    <w:rPr>
      <w:sz w:val="18"/>
      <w:szCs w:val="18"/>
    </w:rPr>
  </w:style>
  <w:style w:type="paragraph" w:styleId="ac">
    <w:name w:val="Normal (Web)"/>
    <w:basedOn w:val="a"/>
    <w:uiPriority w:val="99"/>
    <w:semiHidden/>
    <w:unhideWhenUsed/>
    <w:qFormat/>
  </w:style>
  <w:style w:type="paragraph" w:styleId="ad">
    <w:name w:val="annotation subject"/>
    <w:basedOn w:val="a3"/>
    <w:next w:val="a3"/>
    <w:link w:val="ae"/>
    <w:uiPriority w:val="99"/>
    <w:semiHidden/>
    <w:unhideWhenUsed/>
    <w:qFormat/>
    <w:rPr>
      <w:b/>
    </w:rPr>
  </w:style>
  <w:style w:type="table" w:styleId="af">
    <w:name w:val="Table Grid"/>
    <w:basedOn w:val="a1"/>
    <w:uiPriority w:val="59"/>
    <w:qFormat/>
    <w:pPr>
      <w:spacing w:after="160" w:line="278"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imes New Roman" w:eastAsia="宋体" w:hAnsi="Times New Roman"/>
      <w:b/>
      <w:kern w:val="44"/>
      <w:sz w:val="24"/>
      <w:szCs w:val="44"/>
    </w:rPr>
  </w:style>
  <w:style w:type="character" w:customStyle="1" w:styleId="20">
    <w:name w:val="标题 2 字符"/>
    <w:basedOn w:val="a0"/>
    <w:link w:val="2"/>
    <w:uiPriority w:val="9"/>
    <w:qFormat/>
    <w:rPr>
      <w:rFonts w:ascii="Times New Roman" w:eastAsia="宋体" w:hAnsi="Times New Roman" w:cstheme="majorBidi"/>
      <w:b/>
      <w:sz w:val="24"/>
      <w:szCs w:val="32"/>
    </w:rPr>
  </w:style>
  <w:style w:type="character" w:customStyle="1" w:styleId="30">
    <w:name w:val="标题 3 字符"/>
    <w:basedOn w:val="a0"/>
    <w:link w:val="3"/>
    <w:uiPriority w:val="9"/>
    <w:qFormat/>
    <w:rPr>
      <w:rFonts w:ascii="Times New Roman" w:eastAsia="宋体" w:hAnsi="Times New Roman"/>
      <w:b/>
      <w:sz w:val="24"/>
      <w:szCs w:val="32"/>
    </w:rPr>
  </w:style>
  <w:style w:type="character" w:customStyle="1" w:styleId="40">
    <w:name w:val="标题 4 字符"/>
    <w:basedOn w:val="a0"/>
    <w:link w:val="4"/>
    <w:uiPriority w:val="9"/>
    <w:qFormat/>
    <w:rPr>
      <w:rFonts w:ascii="Arial" w:eastAsia="楷体_GB2312" w:hAnsi="Arial" w:cstheme="majorBidi"/>
      <w:b/>
      <w:sz w:val="24"/>
      <w:szCs w:val="28"/>
    </w:rPr>
  </w:style>
  <w:style w:type="character" w:customStyle="1" w:styleId="ab">
    <w:name w:val="页眉 字符"/>
    <w:basedOn w:val="a0"/>
    <w:link w:val="aa"/>
    <w:uiPriority w:val="99"/>
    <w:qFormat/>
    <w:rPr>
      <w:rFonts w:ascii="Times New Roman" w:eastAsia="宋体" w:hAnsi="Times New Roman"/>
      <w:sz w:val="18"/>
      <w:szCs w:val="18"/>
    </w:rPr>
  </w:style>
  <w:style w:type="character" w:customStyle="1" w:styleId="a9">
    <w:name w:val="页脚 字符"/>
    <w:basedOn w:val="a0"/>
    <w:link w:val="a8"/>
    <w:uiPriority w:val="99"/>
    <w:qFormat/>
    <w:rPr>
      <w:rFonts w:ascii="Times New Roman" w:eastAsia="宋体" w:hAnsi="Times New Roman"/>
      <w:sz w:val="18"/>
      <w:szCs w:val="18"/>
    </w:rPr>
  </w:style>
  <w:style w:type="character" w:customStyle="1" w:styleId="a7">
    <w:name w:val="批注框文本 字符"/>
    <w:basedOn w:val="a0"/>
    <w:link w:val="a6"/>
    <w:uiPriority w:val="99"/>
    <w:semiHidden/>
    <w:qFormat/>
    <w:rPr>
      <w:rFonts w:ascii="Times New Roman" w:eastAsia="宋体" w:hAnsi="Times New Roman"/>
      <w:sz w:val="18"/>
      <w:szCs w:val="18"/>
    </w:rPr>
  </w:style>
  <w:style w:type="character" w:customStyle="1" w:styleId="a4">
    <w:name w:val="批注文字 字符"/>
    <w:basedOn w:val="a0"/>
    <w:link w:val="a3"/>
    <w:uiPriority w:val="99"/>
    <w:qFormat/>
    <w:rPr>
      <w:rFonts w:ascii="Times New Roman" w:eastAsia="宋体" w:hAnsi="Times New Roman"/>
    </w:rPr>
  </w:style>
  <w:style w:type="character" w:customStyle="1" w:styleId="ae">
    <w:name w:val="批注主题 字符"/>
    <w:basedOn w:val="a4"/>
    <w:link w:val="ad"/>
    <w:uiPriority w:val="99"/>
    <w:semiHidden/>
    <w:qFormat/>
    <w:rPr>
      <w:rFonts w:ascii="Times New Roman" w:eastAsia="宋体" w:hAnsi="Times New Roman"/>
      <w:b/>
    </w:rPr>
  </w:style>
  <w:style w:type="paragraph" w:customStyle="1" w:styleId="005">
    <w:name w:val="005正文"/>
    <w:basedOn w:val="a"/>
    <w:link w:val="005Char"/>
    <w:qFormat/>
    <w:pPr>
      <w:adjustRightInd/>
      <w:snapToGrid/>
      <w:spacing w:before="0" w:afterLines="0" w:after="0"/>
    </w:pPr>
    <w:rPr>
      <w:rFonts w:cs="Times New Roman"/>
      <w:bCs w:val="0"/>
    </w:rPr>
  </w:style>
  <w:style w:type="character" w:customStyle="1" w:styleId="005Char">
    <w:name w:val="005正文 Char"/>
    <w:link w:val="005"/>
    <w:qFormat/>
    <w:locked/>
    <w:rPr>
      <w:kern w:val="2"/>
      <w:sz w:val="24"/>
      <w:szCs w:val="22"/>
    </w:rPr>
  </w:style>
  <w:style w:type="paragraph" w:styleId="af1">
    <w:name w:val="List Paragraph"/>
    <w:basedOn w:val="a"/>
    <w:uiPriority w:val="1"/>
    <w:qFormat/>
    <w:pPr>
      <w:spacing w:before="158"/>
      <w:ind w:left="1302" w:hanging="601"/>
    </w:pPr>
  </w:style>
  <w:style w:type="paragraph" w:customStyle="1" w:styleId="11">
    <w:name w:val="修订1"/>
    <w:hidden/>
    <w:uiPriority w:val="99"/>
    <w:semiHidden/>
    <w:qFormat/>
    <w:rPr>
      <w:rFonts w:cs="Arial"/>
      <w:bCs/>
      <w:kern w:val="2"/>
      <w:sz w:val="24"/>
      <w:szCs w:val="22"/>
    </w:rPr>
  </w:style>
  <w:style w:type="paragraph" w:customStyle="1" w:styleId="21">
    <w:name w:val="修订2"/>
    <w:hidden/>
    <w:uiPriority w:val="99"/>
    <w:unhideWhenUsed/>
    <w:rPr>
      <w:rFonts w:cs="Arial"/>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F437602-0414-4A75-8E76-200299516A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8</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mxy</dc:creator>
  <cp:lastModifiedBy>QH</cp:lastModifiedBy>
  <cp:revision>93</cp:revision>
  <dcterms:created xsi:type="dcterms:W3CDTF">2020-02-27T11:56:00Z</dcterms:created>
  <dcterms:modified xsi:type="dcterms:W3CDTF">2025-04-02T09:32:00Z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D0969ABB839141AB96474FE8486F4CDA</vt:lpwstr>
  </property>
  <property fmtid="{D5CDD505-2E9C-101B-9397-08002B2CF9AE}" pid="4" name="KSOTemplateDocerSaveRecord">
    <vt:lpwstr>eyJoZGlkIjoiY2Q4MDAzNjNiM2EwYjNjY2VkN2I2ZWY4OTg5YTA1ZWYiLCJ1c2VySWQiOiIxMzk5OTUwMzQxIn0=</vt:lpwstr>
  </property>
</Properties>
</file>